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CB28" w14:textId="77777777" w:rsidR="00503BC8" w:rsidRPr="00DA5CBD" w:rsidRDefault="00503BC8" w:rsidP="007E6EA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333333"/>
          <w:lang w:val="en-US" w:eastAsia="ru-RU"/>
        </w:rPr>
      </w:pPr>
    </w:p>
    <w:p w14:paraId="145BFB0B" w14:textId="1405A72A" w:rsidR="007E6EA7" w:rsidRPr="00032ECD" w:rsidRDefault="00894E57" w:rsidP="007E6EA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 w:themeColor="text1"/>
          <w:lang w:val="uk-UA" w:eastAsia="ru-RU"/>
        </w:rPr>
      </w:pPr>
      <w:r w:rsidRPr="00032ECD">
        <w:rPr>
          <w:rFonts w:asciiTheme="majorHAnsi" w:eastAsia="Times New Roman" w:hAnsiTheme="majorHAnsi" w:cs="Arial"/>
          <w:b/>
          <w:bCs/>
          <w:color w:val="333333"/>
          <w:lang w:eastAsia="ru-RU"/>
        </w:rPr>
        <w:t>ПОВІДОМЛЕННЯ</w:t>
      </w:r>
      <w:r w:rsidRPr="00032ECD">
        <w:rPr>
          <w:rFonts w:asciiTheme="majorHAnsi" w:eastAsia="Times New Roman" w:hAnsiTheme="majorHAnsi" w:cs="Arial"/>
          <w:b/>
          <w:bCs/>
          <w:color w:val="333333"/>
          <w:lang w:eastAsia="ru-RU"/>
        </w:rPr>
        <w:br/>
      </w:r>
      <w:r w:rsidRPr="00032ECD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про намір </w:t>
      </w:r>
      <w:r w:rsidR="004E77C6" w:rsidRPr="00032ECD">
        <w:rPr>
          <w:rFonts w:asciiTheme="majorHAnsi" w:hAnsiTheme="majorHAnsi" w:cs="Times New Roman"/>
          <w:b/>
          <w:color w:val="000000" w:themeColor="text1"/>
          <w:lang w:val="uk-UA"/>
        </w:rPr>
        <w:t>АКЦІОНЕРНОГО ТОВАРИСТВА</w:t>
      </w:r>
      <w:proofErr w:type="gramStart"/>
      <w:r w:rsidR="004E77C6" w:rsidRPr="00032ECD">
        <w:rPr>
          <w:rFonts w:asciiTheme="majorHAnsi" w:hAnsiTheme="majorHAnsi" w:cs="Times New Roman"/>
          <w:b/>
          <w:color w:val="000000" w:themeColor="text1"/>
          <w:lang w:val="uk-UA"/>
        </w:rPr>
        <w:t xml:space="preserve"> </w:t>
      </w:r>
      <w:r w:rsidR="004E77C6" w:rsidRPr="00032ECD">
        <w:rPr>
          <w:rFonts w:asciiTheme="majorHAnsi" w:eastAsia="Times New Roman" w:hAnsiTheme="majorHAnsi" w:cs="Times New Roman"/>
          <w:b/>
          <w:bCs/>
          <w:color w:val="000000"/>
          <w:lang w:val="uk-UA" w:eastAsia="ru-RU"/>
        </w:rPr>
        <w:t xml:space="preserve"> </w:t>
      </w:r>
      <w:r w:rsidR="006635AD" w:rsidRPr="00032ECD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 «</w:t>
      </w:r>
      <w:proofErr w:type="gramEnd"/>
      <w:r w:rsidRPr="00032ECD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ДТЕК </w:t>
      </w:r>
      <w:r w:rsidR="006635AD" w:rsidRPr="00032ECD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>ДНІПРОЕНЕРГО»</w:t>
      </w:r>
      <w:r w:rsidR="00203ABB" w:rsidRPr="00032ECD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 </w:t>
      </w:r>
      <w:r w:rsidRPr="00032ECD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здійснити </w:t>
      </w:r>
      <w:r w:rsidR="00ED067D" w:rsidRPr="00032ECD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коригування діючих </w:t>
      </w:r>
      <w:r w:rsidRPr="00032ECD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тарифів на </w:t>
      </w:r>
      <w:r w:rsidR="00071EB2" w:rsidRPr="00032ECD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теплову енергію </w:t>
      </w:r>
      <w:r w:rsidR="00203ABB" w:rsidRPr="00032ECD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 </w:t>
      </w:r>
      <w:r w:rsidR="007E6EA7" w:rsidRPr="00032ECD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та </w:t>
      </w:r>
      <w:r w:rsidR="00203ABB" w:rsidRPr="00032ECD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 послуг</w:t>
      </w:r>
      <w:r w:rsidR="007E6EA7" w:rsidRPr="00032ECD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>и</w:t>
      </w:r>
      <w:r w:rsidR="00203ABB" w:rsidRPr="00032ECD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 з постачання теплової енергії </w:t>
      </w:r>
      <w:r w:rsidR="007E6EA7" w:rsidRPr="00032ECD">
        <w:rPr>
          <w:rFonts w:asciiTheme="majorHAnsi" w:eastAsia="Times New Roman" w:hAnsiTheme="majorHAnsi" w:cs="Times New Roman"/>
          <w:b/>
          <w:bCs/>
          <w:color w:val="000000" w:themeColor="text1"/>
          <w:lang w:val="uk-UA" w:eastAsia="ru-RU"/>
        </w:rPr>
        <w:t>для споживачів</w:t>
      </w:r>
    </w:p>
    <w:p w14:paraId="27BAA2EC" w14:textId="77777777" w:rsidR="007E6EA7" w:rsidRPr="00032ECD" w:rsidRDefault="007E6EA7" w:rsidP="007E6EA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lang w:val="uk-UA" w:eastAsia="ru-RU"/>
        </w:rPr>
      </w:pPr>
      <w:r w:rsidRPr="00032ECD">
        <w:rPr>
          <w:rFonts w:asciiTheme="majorHAnsi" w:eastAsia="Times New Roman" w:hAnsiTheme="majorHAnsi" w:cs="Times New Roman"/>
          <w:b/>
          <w:bCs/>
          <w:color w:val="000000" w:themeColor="text1"/>
          <w:lang w:val="uk-UA" w:eastAsia="ru-RU"/>
        </w:rPr>
        <w:t xml:space="preserve">ВІДОКРЕМЛЕНОГО ПІДРОЗДІЛУ  «КРИВОРІЗЬКА ТЕПЛОВА ЕЛЕКТРИЧНА </w:t>
      </w:r>
      <w:r w:rsidRPr="00032ECD">
        <w:rPr>
          <w:rFonts w:asciiTheme="majorHAnsi" w:eastAsia="Times New Roman" w:hAnsiTheme="majorHAnsi" w:cs="Times New Roman"/>
          <w:b/>
          <w:bCs/>
          <w:lang w:val="uk-UA" w:eastAsia="ru-RU"/>
        </w:rPr>
        <w:t>СТАНЦІЯ»</w:t>
      </w:r>
    </w:p>
    <w:p w14:paraId="0355D982" w14:textId="3D7EC9B9" w:rsidR="00ED067D" w:rsidRPr="00032ECD" w:rsidRDefault="00203ABB" w:rsidP="007E6EA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</w:pPr>
      <w:r w:rsidRPr="00032ECD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 </w:t>
      </w:r>
      <w:r w:rsidR="004B0F54" w:rsidRPr="00032ECD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на </w:t>
      </w:r>
      <w:r w:rsidRPr="00032ECD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 xml:space="preserve">період </w:t>
      </w:r>
      <w:r w:rsidR="00ED067D" w:rsidRPr="00032ECD"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  <w:t>до 30.09.2024р.</w:t>
      </w:r>
    </w:p>
    <w:p w14:paraId="24B8D183" w14:textId="77777777" w:rsidR="00ED067D" w:rsidRPr="00032ECD" w:rsidRDefault="00ED067D" w:rsidP="007E6EA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</w:pPr>
    </w:p>
    <w:p w14:paraId="770F5736" w14:textId="2624081F" w:rsidR="00ED067D" w:rsidRPr="00032ECD" w:rsidRDefault="00DA5CBD" w:rsidP="00ED067D">
      <w:pPr>
        <w:pStyle w:val="Default"/>
        <w:spacing w:line="276" w:lineRule="auto"/>
        <w:ind w:firstLine="709"/>
        <w:jc w:val="both"/>
        <w:rPr>
          <w:rFonts w:asciiTheme="majorHAnsi" w:hAnsiTheme="majorHAnsi"/>
          <w:sz w:val="22"/>
          <w:szCs w:val="22"/>
          <w:lang w:val="uk-UA"/>
        </w:rPr>
      </w:pPr>
      <w:r w:rsidRPr="002E6CF3">
        <w:rPr>
          <w:rFonts w:asciiTheme="majorHAnsi" w:hAnsiTheme="majorHAnsi"/>
          <w:color w:val="auto"/>
          <w:sz w:val="22"/>
          <w:szCs w:val="22"/>
          <w:lang w:val="uk-UA"/>
        </w:rPr>
        <w:t xml:space="preserve">З прийняттям </w:t>
      </w:r>
      <w:r w:rsidR="00ED067D" w:rsidRPr="002E6CF3">
        <w:rPr>
          <w:rFonts w:asciiTheme="majorHAnsi" w:hAnsiTheme="majorHAnsi"/>
          <w:color w:val="auto"/>
          <w:sz w:val="22"/>
          <w:szCs w:val="22"/>
          <w:lang w:val="uk-UA"/>
        </w:rPr>
        <w:t>Закон</w:t>
      </w:r>
      <w:r w:rsidRPr="002E6CF3">
        <w:rPr>
          <w:rFonts w:asciiTheme="majorHAnsi" w:hAnsiTheme="majorHAnsi"/>
          <w:color w:val="auto"/>
          <w:sz w:val="22"/>
          <w:szCs w:val="22"/>
          <w:lang w:val="uk-UA"/>
        </w:rPr>
        <w:t>у</w:t>
      </w:r>
      <w:r w:rsidR="00ED067D" w:rsidRPr="002E6CF3">
        <w:rPr>
          <w:rFonts w:asciiTheme="majorHAnsi" w:hAnsiTheme="majorHAnsi"/>
          <w:color w:val="auto"/>
          <w:sz w:val="22"/>
          <w:szCs w:val="22"/>
          <w:lang w:val="uk-UA"/>
        </w:rPr>
        <w:t xml:space="preserve"> </w:t>
      </w:r>
      <w:r w:rsidR="00ED067D" w:rsidRPr="00032ECD">
        <w:rPr>
          <w:rFonts w:asciiTheme="majorHAnsi" w:hAnsiTheme="majorHAnsi"/>
          <w:sz w:val="22"/>
          <w:szCs w:val="22"/>
          <w:lang w:val="uk-UA"/>
        </w:rPr>
        <w:t>України від 27.07.2023р. «Про внесення змін до деяких законів України щодо відновлення та «зеленої» трансформації енергетичної системи України», яким внесені зміни, зокрема, до статті 1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в частині зняття заборони на підвищення тарифів на теплову енергію (її виробництво, транспортування та постачання) для категорії споживачів «бюджетні установи», «релігійні організації» та «інші споживачі» (крім населення).</w:t>
      </w:r>
      <w:r>
        <w:rPr>
          <w:rFonts w:asciiTheme="majorHAnsi" w:hAnsiTheme="majorHAnsi"/>
          <w:sz w:val="22"/>
          <w:szCs w:val="22"/>
          <w:lang w:val="uk-UA"/>
        </w:rPr>
        <w:t xml:space="preserve"> </w:t>
      </w:r>
    </w:p>
    <w:p w14:paraId="162CDE05" w14:textId="5236E0B9" w:rsidR="004760D5" w:rsidRPr="00032ECD" w:rsidRDefault="00ED067D" w:rsidP="004760D5">
      <w:pPr>
        <w:pStyle w:val="Default"/>
        <w:spacing w:line="276" w:lineRule="auto"/>
        <w:ind w:firstLine="709"/>
        <w:jc w:val="both"/>
        <w:rPr>
          <w:rFonts w:asciiTheme="majorHAnsi" w:hAnsiTheme="majorHAnsi"/>
          <w:sz w:val="22"/>
          <w:szCs w:val="22"/>
          <w:lang w:val="uk-UA"/>
        </w:rPr>
      </w:pPr>
      <w:r w:rsidRPr="00032ECD">
        <w:rPr>
          <w:rFonts w:asciiTheme="majorHAnsi" w:hAnsiTheme="majorHAnsi"/>
          <w:sz w:val="22"/>
          <w:szCs w:val="22"/>
          <w:lang w:val="uk-UA"/>
        </w:rPr>
        <w:t>Національною комісією, що здійснює державне регулювання у сферах енергетики та комунальних послуг 06.02.2024р.  прийнято Постанову № 273 «Про внесення змін до постанови НКРЕКП від 27 листопада 2018 року № 1555 «Про встановлення тарифів на виробництво теплової енергії АТ «ДТЕК ДНІПРОЕНЕРГО» згідно якої для ДТЕК КРИВОРІЗЬКА ТЕС встановлено нові тарифи на виробництво теплової енергії</w:t>
      </w:r>
      <w:r w:rsidR="004760D5" w:rsidRPr="00032ECD">
        <w:rPr>
          <w:rFonts w:asciiTheme="majorHAnsi" w:hAnsiTheme="majorHAnsi"/>
          <w:sz w:val="22"/>
          <w:szCs w:val="22"/>
          <w:lang w:val="uk-UA"/>
        </w:rPr>
        <w:t xml:space="preserve"> для категорії споживачів «бюджетні установи»  та «інші споживачі».</w:t>
      </w:r>
    </w:p>
    <w:p w14:paraId="3750046A" w14:textId="2402A1CB" w:rsidR="00AC7088" w:rsidRDefault="004760D5" w:rsidP="00032ECD">
      <w:pPr>
        <w:spacing w:after="0"/>
        <w:ind w:firstLine="360"/>
        <w:jc w:val="both"/>
        <w:rPr>
          <w:rFonts w:asciiTheme="majorHAnsi" w:hAnsiTheme="majorHAnsi"/>
          <w:lang w:val="uk-UA"/>
        </w:rPr>
      </w:pPr>
      <w:r w:rsidRPr="00032ECD">
        <w:rPr>
          <w:rFonts w:asciiTheme="majorHAnsi" w:hAnsiTheme="majorHAnsi" w:cs="Calibri"/>
          <w:lang w:val="uk-UA"/>
        </w:rPr>
        <w:t xml:space="preserve">       </w:t>
      </w:r>
      <w:r w:rsidR="00ED067D" w:rsidRPr="00032ECD">
        <w:rPr>
          <w:rFonts w:asciiTheme="majorHAnsi" w:hAnsiTheme="majorHAnsi" w:cs="Calibri"/>
          <w:lang w:val="uk-UA"/>
        </w:rPr>
        <w:t xml:space="preserve">Керуючись </w:t>
      </w:r>
      <w:r w:rsidR="00000000">
        <w:fldChar w:fldCharType="begin"/>
      </w:r>
      <w:r w:rsidR="00000000">
        <w:instrText>HYPERLINK</w:instrText>
      </w:r>
      <w:r w:rsidR="00000000" w:rsidRPr="00B22D01">
        <w:rPr>
          <w:lang w:val="uk-UA"/>
        </w:rPr>
        <w:instrText xml:space="preserve"> "</w:instrText>
      </w:r>
      <w:r w:rsidR="00000000">
        <w:instrText>https</w:instrText>
      </w:r>
      <w:r w:rsidR="00000000" w:rsidRPr="00B22D01">
        <w:rPr>
          <w:lang w:val="uk-UA"/>
        </w:rPr>
        <w:instrText>://</w:instrText>
      </w:r>
      <w:r w:rsidR="00000000">
        <w:instrText>zakononline</w:instrText>
      </w:r>
      <w:r w:rsidR="00000000" w:rsidRPr="00B22D01">
        <w:rPr>
          <w:lang w:val="uk-UA"/>
        </w:rPr>
        <w:instrText>.</w:instrText>
      </w:r>
      <w:r w:rsidR="00000000">
        <w:instrText>com</w:instrText>
      </w:r>
      <w:r w:rsidR="00000000" w:rsidRPr="00B22D01">
        <w:rPr>
          <w:lang w:val="uk-UA"/>
        </w:rPr>
        <w:instrText>.</w:instrText>
      </w:r>
      <w:r w:rsidR="00000000">
        <w:instrText>ua</w:instrText>
      </w:r>
      <w:r w:rsidR="00000000" w:rsidRPr="00B22D01">
        <w:rPr>
          <w:lang w:val="uk-UA"/>
        </w:rPr>
        <w:instrText>/</w:instrText>
      </w:r>
      <w:r w:rsidR="00000000">
        <w:instrText>documents</w:instrText>
      </w:r>
      <w:r w:rsidR="00000000" w:rsidRPr="00B22D01">
        <w:rPr>
          <w:lang w:val="uk-UA"/>
        </w:rPr>
        <w:instrText>/</w:instrText>
      </w:r>
      <w:r w:rsidR="00000000">
        <w:instrText>show</w:instrText>
      </w:r>
      <w:r w:rsidR="00000000" w:rsidRPr="00B22D01">
        <w:rPr>
          <w:lang w:val="uk-UA"/>
        </w:rPr>
        <w:instrText>/316067___759258"</w:instrText>
      </w:r>
      <w:r w:rsidR="00000000">
        <w:fldChar w:fldCharType="separate"/>
      </w:r>
      <w:r w:rsidR="00ED067D" w:rsidRPr="00032ECD">
        <w:rPr>
          <w:rFonts w:asciiTheme="majorHAnsi" w:hAnsiTheme="majorHAnsi" w:cs="Calibri"/>
          <w:lang w:val="uk-UA"/>
        </w:rPr>
        <w:t>Постанов</w:t>
      </w:r>
      <w:r w:rsidRPr="00032ECD">
        <w:rPr>
          <w:rFonts w:asciiTheme="majorHAnsi" w:hAnsiTheme="majorHAnsi" w:cs="Calibri"/>
          <w:lang w:val="uk-UA"/>
        </w:rPr>
        <w:t>ами КМУ</w:t>
      </w:r>
      <w:r w:rsidR="00ED067D" w:rsidRPr="00032ECD">
        <w:rPr>
          <w:rFonts w:asciiTheme="majorHAnsi" w:hAnsiTheme="majorHAnsi" w:cs="Calibri"/>
          <w:lang w:val="uk-UA"/>
        </w:rPr>
        <w:t xml:space="preserve"> №869 від 01.06.2011р.</w:t>
      </w:r>
      <w:r w:rsidRPr="00032ECD">
        <w:rPr>
          <w:rFonts w:asciiTheme="majorHAnsi" w:hAnsiTheme="majorHAnsi" w:cs="Calibri"/>
          <w:lang w:val="uk-UA"/>
        </w:rPr>
        <w:t xml:space="preserve"> та №467 від.10.06.2020р. </w:t>
      </w:r>
      <w:r w:rsidR="00ED067D" w:rsidRPr="00032ECD">
        <w:rPr>
          <w:rFonts w:asciiTheme="majorHAnsi" w:hAnsiTheme="majorHAnsi" w:cs="Calibri"/>
          <w:lang w:val="uk-UA"/>
        </w:rPr>
        <w:t>«Про забезпечення єдиного підходу до формування тарифів на комунальні послуги»</w:t>
      </w:r>
      <w:r w:rsidR="00000000">
        <w:rPr>
          <w:rFonts w:asciiTheme="majorHAnsi" w:hAnsiTheme="majorHAnsi" w:cs="Calibri"/>
          <w:lang w:val="uk-UA"/>
        </w:rPr>
        <w:fldChar w:fldCharType="end"/>
      </w:r>
      <w:r w:rsidR="00BC125C">
        <w:rPr>
          <w:rFonts w:asciiTheme="majorHAnsi" w:hAnsiTheme="majorHAnsi" w:cs="Calibri"/>
          <w:lang w:val="uk-UA"/>
        </w:rPr>
        <w:t>,</w:t>
      </w:r>
      <w:r w:rsidR="00ED067D" w:rsidRPr="00032ECD">
        <w:rPr>
          <w:rFonts w:asciiTheme="majorHAnsi" w:hAnsiTheme="majorHAnsi" w:cs="Calibri"/>
          <w:lang w:val="uk-UA"/>
        </w:rPr>
        <w:t xml:space="preserve"> згідно п.98 «У разі зміни протягом строку дії тарифів обсягу окремих витрат, які не залежать від суб’єкта господарювання, може проводитися коригування тарифів</w:t>
      </w:r>
      <w:r w:rsidR="00ED067D" w:rsidRPr="00320E47">
        <w:rPr>
          <w:rFonts w:asciiTheme="majorHAnsi" w:hAnsiTheme="majorHAnsi" w:cs="Calibri"/>
          <w:lang w:val="uk-UA"/>
        </w:rPr>
        <w:t>»</w:t>
      </w:r>
      <w:r w:rsidR="00AC7088" w:rsidRPr="00320E47">
        <w:rPr>
          <w:rFonts w:asciiTheme="majorHAnsi" w:hAnsiTheme="majorHAnsi" w:cs="Calibri"/>
          <w:lang w:val="uk-UA"/>
        </w:rPr>
        <w:t xml:space="preserve"> повідомляємо про намір АТ «ДТЕК ДНІПРОЕНЕРГО» здійснити коригування діючих тарифів на теплову енергію  та  послуги з постачання теплової енергії </w:t>
      </w:r>
      <w:r w:rsidR="00AC7088" w:rsidRPr="007030E2">
        <w:rPr>
          <w:rFonts w:asciiTheme="majorHAnsi" w:hAnsiTheme="majorHAnsi" w:cs="Calibri"/>
          <w:lang w:val="uk-UA"/>
        </w:rPr>
        <w:t xml:space="preserve">для </w:t>
      </w:r>
      <w:r w:rsidR="00DA5CBD" w:rsidRPr="007030E2">
        <w:rPr>
          <w:rFonts w:asciiTheme="majorHAnsi" w:hAnsiTheme="majorHAnsi"/>
          <w:lang w:val="uk-UA"/>
        </w:rPr>
        <w:t>категорії споживачів «бюджетні установи»  та «інші споживачі»</w:t>
      </w:r>
      <w:r w:rsidR="00AC7088" w:rsidRPr="007030E2">
        <w:rPr>
          <w:rFonts w:asciiTheme="majorHAnsi" w:hAnsiTheme="majorHAnsi" w:cs="Calibri"/>
          <w:lang w:val="uk-UA"/>
        </w:rPr>
        <w:t xml:space="preserve"> </w:t>
      </w:r>
      <w:r w:rsidR="00AC7088" w:rsidRPr="00320E47">
        <w:rPr>
          <w:rFonts w:asciiTheme="majorHAnsi" w:hAnsiTheme="majorHAnsi" w:cs="Calibri"/>
          <w:lang w:val="uk-UA"/>
        </w:rPr>
        <w:t>ВП «КРИВОРІЗЬКА ТЕПЛОВА ЕЛЕКТРИЧНА СТАНЦІЯ» на період до 30.09.2024р</w:t>
      </w:r>
      <w:r w:rsidRPr="00320E47">
        <w:rPr>
          <w:rFonts w:asciiTheme="majorHAnsi" w:hAnsiTheme="majorHAnsi" w:cs="Calibri"/>
          <w:lang w:val="uk-UA"/>
        </w:rPr>
        <w:t>.</w:t>
      </w:r>
      <w:r w:rsidR="00ED067D" w:rsidRPr="00320E47">
        <w:rPr>
          <w:rFonts w:asciiTheme="majorHAnsi" w:hAnsiTheme="majorHAnsi" w:cs="Calibri"/>
          <w:lang w:val="uk-UA"/>
        </w:rPr>
        <w:t xml:space="preserve"> Також, згідно ст.28 ЗУ «Про місцеве самоврядування в Україні» до повноважень виконавчих органів сільських, селищних, міських рад належить встановлення в порядку і межах, визначених законодавством, тарифів на теплову енергію</w:t>
      </w:r>
      <w:r w:rsidR="00AC7088" w:rsidRPr="00320E47">
        <w:rPr>
          <w:rFonts w:asciiTheme="majorHAnsi" w:hAnsiTheme="majorHAnsi" w:cs="Calibri"/>
          <w:lang w:val="uk-UA"/>
        </w:rPr>
        <w:t xml:space="preserve"> і згідно</w:t>
      </w:r>
      <w:r w:rsidR="00ED067D" w:rsidRPr="00320E47">
        <w:rPr>
          <w:rFonts w:asciiTheme="majorHAnsi" w:hAnsiTheme="majorHAnsi" w:cs="Calibri"/>
          <w:lang w:val="uk-UA"/>
        </w:rPr>
        <w:t xml:space="preserve"> ст.20 ЗУ «Про теплопостачання» регламентує, що тарифи на теплову енергію повинні забезпечувати відшкодування всіх економічно обґрунтованих витрат на виробництво, транспортування та постачання теплової енергії, а встановлення тарифів на теплову енергію нижче розміру економічно обґрунтованих не допускається</w:t>
      </w:r>
      <w:r w:rsidR="00AC7088" w:rsidRPr="00320E47">
        <w:rPr>
          <w:rFonts w:asciiTheme="majorHAnsi" w:hAnsiTheme="majorHAnsi" w:cs="Calibri"/>
          <w:lang w:val="uk-UA"/>
        </w:rPr>
        <w:t xml:space="preserve">, тому корегування </w:t>
      </w:r>
      <w:r w:rsidR="00AC7088" w:rsidRPr="00320E47">
        <w:rPr>
          <w:rFonts w:asciiTheme="majorHAnsi" w:hAnsiTheme="majorHAnsi"/>
          <w:lang w:val="uk-UA"/>
        </w:rPr>
        <w:t xml:space="preserve">тарифів на період  до 30.09.2024 року є </w:t>
      </w:r>
      <w:r w:rsidR="001F798B" w:rsidRPr="00320E47">
        <w:rPr>
          <w:rFonts w:asciiTheme="majorHAnsi" w:hAnsiTheme="majorHAnsi"/>
          <w:lang w:val="uk-UA"/>
        </w:rPr>
        <w:t xml:space="preserve">законодавчо </w:t>
      </w:r>
      <w:r w:rsidR="00AC7088" w:rsidRPr="00320E47">
        <w:rPr>
          <w:rFonts w:asciiTheme="majorHAnsi" w:hAnsiTheme="majorHAnsi"/>
          <w:lang w:val="uk-UA"/>
        </w:rPr>
        <w:t>аргументованим .</w:t>
      </w:r>
    </w:p>
    <w:p w14:paraId="2B622D48" w14:textId="21E0EE9F" w:rsidR="002E6CF3" w:rsidRDefault="002E6CF3" w:rsidP="002E6CF3">
      <w:pPr>
        <w:pStyle w:val="Default"/>
        <w:ind w:firstLine="709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 метою приведення діючих тарифів на теплову енергію, її транспортування та постачання, послуги з постачання теплової енергії ВП «</w:t>
      </w:r>
      <w:r w:rsidRPr="00320E47">
        <w:rPr>
          <w:rFonts w:asciiTheme="majorHAnsi" w:hAnsiTheme="majorHAnsi" w:cs="Calibri"/>
          <w:lang w:val="uk-UA"/>
        </w:rPr>
        <w:t>КРИВОРІЗЬКА</w:t>
      </w:r>
      <w:r>
        <w:rPr>
          <w:rFonts w:ascii="Calibri" w:hAnsi="Calibri" w:cs="Calibri"/>
          <w:lang w:val="uk-UA"/>
        </w:rPr>
        <w:t xml:space="preserve"> ТЕС» АТ «ДТЕК ДНІПРОЕНЕРГО» до економічно обґрунтованого рівня здійснено розрахунок коригування тарифів для споживачів для категорій бюджетні установи та інші споживачі. Нижче наведена інформація щодо діючих та планових тарифів:</w:t>
      </w:r>
    </w:p>
    <w:p w14:paraId="7ACDFC07" w14:textId="77777777" w:rsidR="002E6CF3" w:rsidRPr="00032ECD" w:rsidRDefault="002E6CF3" w:rsidP="00032ECD">
      <w:pPr>
        <w:spacing w:after="0"/>
        <w:ind w:firstLine="360"/>
        <w:jc w:val="both"/>
        <w:rPr>
          <w:rFonts w:asciiTheme="majorHAnsi" w:hAnsiTheme="majorHAnsi"/>
          <w:lang w:val="uk-UA"/>
        </w:rPr>
      </w:pP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1701"/>
        <w:gridCol w:w="1417"/>
        <w:gridCol w:w="1276"/>
        <w:gridCol w:w="1417"/>
      </w:tblGrid>
      <w:tr w:rsidR="002E6CF3" w:rsidRPr="002E6CF3" w14:paraId="04CCE9C0" w14:textId="77777777" w:rsidTr="00032ECD">
        <w:trPr>
          <w:trHeight w:val="275"/>
        </w:trPr>
        <w:tc>
          <w:tcPr>
            <w:tcW w:w="9780" w:type="dxa"/>
            <w:gridSpan w:val="7"/>
            <w:shd w:val="clear" w:color="auto" w:fill="auto"/>
            <w:noWrap/>
            <w:vAlign w:val="bottom"/>
            <w:hideMark/>
          </w:tcPr>
          <w:p w14:paraId="4BC5F821" w14:textId="0E861D8C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b/>
                <w:bCs/>
                <w:lang w:val="uk-UA" w:eastAsia="ru-RU"/>
              </w:rPr>
              <w:t xml:space="preserve">Діючі тарифи </w:t>
            </w:r>
          </w:p>
        </w:tc>
      </w:tr>
      <w:tr w:rsidR="002E6CF3" w:rsidRPr="002E6CF3" w14:paraId="4B6710ED" w14:textId="77777777" w:rsidTr="00032ECD">
        <w:trPr>
          <w:trHeight w:val="229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4302379" w14:textId="77777777" w:rsidR="00066E03" w:rsidRPr="002E6CF3" w:rsidRDefault="00066E03" w:rsidP="004653C8">
            <w:pPr>
              <w:spacing w:after="0" w:line="240" w:lineRule="auto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eastAsia="ru-RU"/>
              </w:rPr>
              <w:t> 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14:paraId="05CD9FB1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 xml:space="preserve"> Теплова енергія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3C740EC3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Виробництво  теплової енергії</w:t>
            </w:r>
          </w:p>
        </w:tc>
      </w:tr>
      <w:tr w:rsidR="002E6CF3" w:rsidRPr="002E6CF3" w14:paraId="57C8E536" w14:textId="77777777" w:rsidTr="00032ECD">
        <w:trPr>
          <w:trHeight w:val="589"/>
        </w:trPr>
        <w:tc>
          <w:tcPr>
            <w:tcW w:w="1134" w:type="dxa"/>
            <w:vMerge/>
            <w:vAlign w:val="center"/>
            <w:hideMark/>
          </w:tcPr>
          <w:p w14:paraId="4C0135E1" w14:textId="77777777" w:rsidR="00066E03" w:rsidRPr="002E6CF3" w:rsidRDefault="00066E03" w:rsidP="004653C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7CD426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населення,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E3A6BA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бюджет,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7FD6C8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інші,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5F8CC1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населення,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A77BBD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бюджет,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42E145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інші,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</w:p>
        </w:tc>
      </w:tr>
      <w:tr w:rsidR="002E6CF3" w:rsidRPr="002E6CF3" w14:paraId="730612B9" w14:textId="77777777" w:rsidTr="00032ECD">
        <w:trPr>
          <w:trHeight w:val="199"/>
        </w:trPr>
        <w:tc>
          <w:tcPr>
            <w:tcW w:w="1134" w:type="dxa"/>
            <w:shd w:val="clear" w:color="auto" w:fill="auto"/>
            <w:vAlign w:val="center"/>
            <w:hideMark/>
          </w:tcPr>
          <w:p w14:paraId="510E3DF4" w14:textId="77777777" w:rsidR="00066E03" w:rsidRPr="002E6CF3" w:rsidRDefault="00066E03" w:rsidP="004653C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eastAsia="ru-RU"/>
              </w:rPr>
              <w:t>без ПДВ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6BA4B7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960,40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9AC99B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n-US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960,40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354A4E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n-US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960,40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7043B6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757,36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E291DB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757,36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025867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757,36</w:t>
            </w:r>
          </w:p>
        </w:tc>
      </w:tr>
      <w:tr w:rsidR="002E6CF3" w:rsidRPr="002E6CF3" w14:paraId="1BB9AE95" w14:textId="77777777" w:rsidTr="00032ECD">
        <w:trPr>
          <w:trHeight w:val="273"/>
        </w:trPr>
        <w:tc>
          <w:tcPr>
            <w:tcW w:w="1134" w:type="dxa"/>
            <w:shd w:val="clear" w:color="auto" w:fill="auto"/>
            <w:vAlign w:val="center"/>
            <w:hideMark/>
          </w:tcPr>
          <w:p w14:paraId="4B0942F6" w14:textId="77777777" w:rsidR="00066E03" w:rsidRPr="002E6CF3" w:rsidRDefault="00066E03" w:rsidP="004653C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eastAsia="ru-RU"/>
              </w:rPr>
              <w:t>з ПДВ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5AA5AB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1152,48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9263D7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1152,48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0D1D53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1152,48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2ADA68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908,83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09BF24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908,83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F6AF8E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908,83</w:t>
            </w:r>
          </w:p>
        </w:tc>
      </w:tr>
      <w:tr w:rsidR="002E6CF3" w:rsidRPr="002E6CF3" w14:paraId="71A6D7E7" w14:textId="77777777" w:rsidTr="00032ECD">
        <w:trPr>
          <w:trHeight w:val="122"/>
        </w:trPr>
        <w:tc>
          <w:tcPr>
            <w:tcW w:w="1134" w:type="dxa"/>
            <w:shd w:val="clear" w:color="auto" w:fill="auto"/>
            <w:vAlign w:val="center"/>
          </w:tcPr>
          <w:p w14:paraId="3D6B555B" w14:textId="77777777" w:rsidR="00066E03" w:rsidRPr="002E6CF3" w:rsidRDefault="00066E03" w:rsidP="004653C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59B66BFC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Транспортування теплової енергії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465979EA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Постачання теплової енергії</w:t>
            </w:r>
          </w:p>
        </w:tc>
      </w:tr>
      <w:tr w:rsidR="002E6CF3" w:rsidRPr="002E6CF3" w14:paraId="37D67D54" w14:textId="77777777" w:rsidTr="00032ECD">
        <w:trPr>
          <w:trHeight w:val="465"/>
        </w:trPr>
        <w:tc>
          <w:tcPr>
            <w:tcW w:w="1134" w:type="dxa"/>
            <w:shd w:val="clear" w:color="auto" w:fill="auto"/>
            <w:vAlign w:val="center"/>
          </w:tcPr>
          <w:p w14:paraId="28B5A737" w14:textId="77777777" w:rsidR="00066E03" w:rsidRPr="002E6CF3" w:rsidRDefault="00066E03" w:rsidP="004653C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DCAAD7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населення,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B92ED59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бюджет,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EA830BF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інші,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2D8D1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населення,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24A411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бюджет,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6E75C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інші,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</w:p>
        </w:tc>
      </w:tr>
      <w:tr w:rsidR="002E6CF3" w:rsidRPr="002E6CF3" w14:paraId="244AE641" w14:textId="77777777" w:rsidTr="00032ECD">
        <w:trPr>
          <w:trHeight w:val="257"/>
        </w:trPr>
        <w:tc>
          <w:tcPr>
            <w:tcW w:w="1134" w:type="dxa"/>
            <w:shd w:val="clear" w:color="auto" w:fill="auto"/>
            <w:vAlign w:val="center"/>
          </w:tcPr>
          <w:p w14:paraId="3A92CF3D" w14:textId="77777777" w:rsidR="00066E03" w:rsidRPr="002E6CF3" w:rsidRDefault="00066E03" w:rsidP="004653C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eastAsia="ru-RU"/>
              </w:rPr>
              <w:t>без ПДВ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253B31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186,39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5C8D16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186,39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9D4701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186,39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B9CC2D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eastAsia="ru-RU"/>
              </w:rPr>
              <w:t>16,65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DAB9E2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eastAsia="ru-RU"/>
              </w:rPr>
              <w:t>16,65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19DD48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eastAsia="ru-RU"/>
              </w:rPr>
              <w:t>16,65</w:t>
            </w:r>
          </w:p>
        </w:tc>
      </w:tr>
      <w:tr w:rsidR="002E6CF3" w:rsidRPr="002E6CF3" w14:paraId="2E1F2EFE" w14:textId="77777777" w:rsidTr="00032ECD">
        <w:trPr>
          <w:trHeight w:val="275"/>
        </w:trPr>
        <w:tc>
          <w:tcPr>
            <w:tcW w:w="1134" w:type="dxa"/>
            <w:shd w:val="clear" w:color="auto" w:fill="auto"/>
            <w:vAlign w:val="center"/>
          </w:tcPr>
          <w:p w14:paraId="68700FF2" w14:textId="77777777" w:rsidR="00066E03" w:rsidRPr="002E6CF3" w:rsidRDefault="00066E03" w:rsidP="004653C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eastAsia="ru-RU"/>
              </w:rPr>
              <w:t>з ПДВ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0A9EE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223,67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3E255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223,67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AEACAD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223,67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231B7F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19,98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E2CF40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19,98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35843E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19,98</w:t>
            </w:r>
          </w:p>
        </w:tc>
      </w:tr>
      <w:tr w:rsidR="002E6CF3" w:rsidRPr="002E6CF3" w14:paraId="0E658EEF" w14:textId="77777777" w:rsidTr="00032ECD">
        <w:trPr>
          <w:trHeight w:val="280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D5A9266" w14:textId="77777777" w:rsidR="00066E03" w:rsidRPr="002E6CF3" w:rsidRDefault="00066E03" w:rsidP="004653C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eastAsia="ru-RU"/>
              </w:rPr>
              <w:t> 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14:paraId="16AF41E0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послуга з постачання теплової енергії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5C7EFABA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послуга з постачання гарячої води</w:t>
            </w:r>
          </w:p>
        </w:tc>
      </w:tr>
      <w:tr w:rsidR="002E6CF3" w:rsidRPr="002E6CF3" w14:paraId="475F3CD5" w14:textId="77777777" w:rsidTr="00032ECD">
        <w:trPr>
          <w:trHeight w:val="411"/>
        </w:trPr>
        <w:tc>
          <w:tcPr>
            <w:tcW w:w="1134" w:type="dxa"/>
            <w:vMerge/>
            <w:vAlign w:val="center"/>
            <w:hideMark/>
          </w:tcPr>
          <w:p w14:paraId="692926BC" w14:textId="77777777" w:rsidR="00066E03" w:rsidRPr="002E6CF3" w:rsidRDefault="00066E03" w:rsidP="004653C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BFF82D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населення,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1A0B62E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бюджет,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D79E8C3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інші,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 xml:space="preserve"> 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78E369D0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населення, грн/м3</w:t>
            </w:r>
          </w:p>
        </w:tc>
      </w:tr>
      <w:tr w:rsidR="002E6CF3" w:rsidRPr="002E6CF3" w14:paraId="207184F3" w14:textId="77777777" w:rsidTr="00032ECD">
        <w:trPr>
          <w:trHeight w:val="261"/>
        </w:trPr>
        <w:tc>
          <w:tcPr>
            <w:tcW w:w="1134" w:type="dxa"/>
            <w:shd w:val="clear" w:color="auto" w:fill="auto"/>
            <w:vAlign w:val="center"/>
            <w:hideMark/>
          </w:tcPr>
          <w:p w14:paraId="2BADA35A" w14:textId="77777777" w:rsidR="00066E03" w:rsidRPr="002E6CF3" w:rsidRDefault="00066E03" w:rsidP="004653C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eastAsia="ru-RU"/>
              </w:rPr>
              <w:t>без ПДВ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6083B8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960,40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AA0361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n-US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960,40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50A2C4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n-US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960,40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6580FCDD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47,35</w:t>
            </w:r>
          </w:p>
        </w:tc>
      </w:tr>
      <w:tr w:rsidR="002E6CF3" w:rsidRPr="002E6CF3" w14:paraId="00C73113" w14:textId="77777777" w:rsidTr="00032ECD">
        <w:trPr>
          <w:trHeight w:val="279"/>
        </w:trPr>
        <w:tc>
          <w:tcPr>
            <w:tcW w:w="1134" w:type="dxa"/>
            <w:shd w:val="clear" w:color="auto" w:fill="auto"/>
            <w:vAlign w:val="center"/>
            <w:hideMark/>
          </w:tcPr>
          <w:p w14:paraId="3E062FE0" w14:textId="77777777" w:rsidR="00066E03" w:rsidRPr="002E6CF3" w:rsidRDefault="00066E03" w:rsidP="004653C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eastAsia="ru-RU"/>
              </w:rPr>
              <w:t>з ПДВ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6776CD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1152,48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454275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1152,48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134DE2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1152,48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4D9FA69A" w14:textId="77777777" w:rsidR="00066E03" w:rsidRPr="002E6CF3" w:rsidRDefault="00066E03" w:rsidP="004653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56,82</w:t>
            </w:r>
          </w:p>
        </w:tc>
      </w:tr>
    </w:tbl>
    <w:p w14:paraId="0142365E" w14:textId="77777777" w:rsidR="00066E03" w:rsidRPr="00032ECD" w:rsidRDefault="00066E03" w:rsidP="00ED067D">
      <w:pPr>
        <w:pStyle w:val="a5"/>
        <w:spacing w:before="0" w:beforeAutospacing="0"/>
        <w:jc w:val="both"/>
        <w:rPr>
          <w:rFonts w:asciiTheme="majorHAnsi" w:hAnsiTheme="majorHAnsi"/>
          <w:color w:val="111111"/>
          <w:sz w:val="22"/>
          <w:szCs w:val="22"/>
          <w:lang w:val="uk-UA"/>
        </w:rPr>
      </w:pP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701"/>
        <w:gridCol w:w="1276"/>
        <w:gridCol w:w="1275"/>
        <w:gridCol w:w="1560"/>
      </w:tblGrid>
      <w:tr w:rsidR="002E6CF3" w:rsidRPr="002E6CF3" w14:paraId="543E1477" w14:textId="77777777" w:rsidTr="00032ECD">
        <w:trPr>
          <w:trHeight w:val="275"/>
        </w:trPr>
        <w:tc>
          <w:tcPr>
            <w:tcW w:w="9639" w:type="dxa"/>
            <w:gridSpan w:val="7"/>
            <w:shd w:val="clear" w:color="auto" w:fill="auto"/>
            <w:noWrap/>
            <w:vAlign w:val="bottom"/>
            <w:hideMark/>
          </w:tcPr>
          <w:p w14:paraId="077FFDF3" w14:textId="4A2835B0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b/>
                <w:bCs/>
                <w:lang w:val="uk-UA" w:eastAsia="ru-RU"/>
              </w:rPr>
              <w:lastRenderedPageBreak/>
              <w:t xml:space="preserve">Планові тарифи </w:t>
            </w:r>
          </w:p>
        </w:tc>
      </w:tr>
      <w:tr w:rsidR="002E6CF3" w:rsidRPr="002E6CF3" w14:paraId="69496DCA" w14:textId="77777777" w:rsidTr="00032ECD">
        <w:trPr>
          <w:trHeight w:val="229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CA3F41E" w14:textId="77777777" w:rsidR="00ED067D" w:rsidRPr="002E6CF3" w:rsidRDefault="00ED067D" w:rsidP="00480D56">
            <w:pPr>
              <w:spacing w:after="0" w:line="240" w:lineRule="auto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  <w:hideMark/>
          </w:tcPr>
          <w:p w14:paraId="68D90966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 xml:space="preserve"> Теплова енергія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  <w:hideMark/>
          </w:tcPr>
          <w:p w14:paraId="694A7A79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Виробництво  теплової енергії</w:t>
            </w:r>
          </w:p>
        </w:tc>
      </w:tr>
      <w:tr w:rsidR="002E6CF3" w:rsidRPr="002E6CF3" w14:paraId="61A81D64" w14:textId="77777777" w:rsidTr="00032ECD">
        <w:trPr>
          <w:trHeight w:val="589"/>
        </w:trPr>
        <w:tc>
          <w:tcPr>
            <w:tcW w:w="1134" w:type="dxa"/>
            <w:vMerge/>
            <w:vAlign w:val="center"/>
            <w:hideMark/>
          </w:tcPr>
          <w:p w14:paraId="4105C58F" w14:textId="77777777" w:rsidR="00ED067D" w:rsidRPr="002E6CF3" w:rsidRDefault="00ED067D" w:rsidP="00480D56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78DD5D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населення,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D0E72A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бюджет,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4120CE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інші,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9463EB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населення,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C9E31F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бюджет,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1AF14E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інші,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</w:p>
        </w:tc>
      </w:tr>
      <w:tr w:rsidR="002E6CF3" w:rsidRPr="002E6CF3" w14:paraId="1412D0F3" w14:textId="77777777" w:rsidTr="00032ECD">
        <w:trPr>
          <w:trHeight w:val="199"/>
        </w:trPr>
        <w:tc>
          <w:tcPr>
            <w:tcW w:w="1134" w:type="dxa"/>
            <w:shd w:val="clear" w:color="auto" w:fill="auto"/>
            <w:vAlign w:val="center"/>
            <w:hideMark/>
          </w:tcPr>
          <w:p w14:paraId="097C804A" w14:textId="77777777" w:rsidR="00FB71FB" w:rsidRPr="002E6CF3" w:rsidRDefault="00FB71FB" w:rsidP="00FB71FB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eastAsia="ru-RU"/>
              </w:rPr>
              <w:t>без ПДВ</w:t>
            </w:r>
          </w:p>
        </w:tc>
        <w:tc>
          <w:tcPr>
            <w:tcW w:w="1417" w:type="dxa"/>
            <w:shd w:val="clear" w:color="auto" w:fill="auto"/>
            <w:hideMark/>
          </w:tcPr>
          <w:p w14:paraId="08524D22" w14:textId="090AB4E9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2E6CF3">
              <w:rPr>
                <w:rFonts w:asciiTheme="majorHAnsi" w:hAnsiTheme="majorHAnsi"/>
              </w:rPr>
              <w:t>960,40</w:t>
            </w:r>
          </w:p>
        </w:tc>
        <w:tc>
          <w:tcPr>
            <w:tcW w:w="1276" w:type="dxa"/>
            <w:shd w:val="clear" w:color="auto" w:fill="auto"/>
            <w:hideMark/>
          </w:tcPr>
          <w:p w14:paraId="5865D84F" w14:textId="58BE5533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n-US" w:eastAsia="ru-RU"/>
              </w:rPr>
            </w:pPr>
            <w:r w:rsidRPr="002E6CF3">
              <w:rPr>
                <w:rFonts w:asciiTheme="majorHAnsi" w:hAnsiTheme="majorHAnsi"/>
              </w:rPr>
              <w:t>1 141,39</w:t>
            </w:r>
          </w:p>
        </w:tc>
        <w:tc>
          <w:tcPr>
            <w:tcW w:w="1701" w:type="dxa"/>
            <w:shd w:val="clear" w:color="auto" w:fill="auto"/>
            <w:hideMark/>
          </w:tcPr>
          <w:p w14:paraId="56282910" w14:textId="1C860763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n-US" w:eastAsia="ru-RU"/>
              </w:rPr>
            </w:pPr>
            <w:r w:rsidRPr="002E6CF3">
              <w:rPr>
                <w:rFonts w:asciiTheme="majorHAnsi" w:hAnsiTheme="majorHAnsi"/>
              </w:rPr>
              <w:t>1 140,56</w:t>
            </w:r>
          </w:p>
        </w:tc>
        <w:tc>
          <w:tcPr>
            <w:tcW w:w="1276" w:type="dxa"/>
            <w:shd w:val="clear" w:color="auto" w:fill="auto"/>
            <w:hideMark/>
          </w:tcPr>
          <w:p w14:paraId="5DBC26E6" w14:textId="1F0B5FFF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757,36</w:t>
            </w:r>
          </w:p>
        </w:tc>
        <w:tc>
          <w:tcPr>
            <w:tcW w:w="1275" w:type="dxa"/>
            <w:shd w:val="clear" w:color="auto" w:fill="auto"/>
            <w:hideMark/>
          </w:tcPr>
          <w:p w14:paraId="162D2877" w14:textId="341FE365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915,70</w:t>
            </w:r>
          </w:p>
        </w:tc>
        <w:tc>
          <w:tcPr>
            <w:tcW w:w="1560" w:type="dxa"/>
            <w:shd w:val="clear" w:color="auto" w:fill="auto"/>
            <w:hideMark/>
          </w:tcPr>
          <w:p w14:paraId="5D7607B7" w14:textId="6DD0170B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914,87</w:t>
            </w:r>
          </w:p>
        </w:tc>
      </w:tr>
      <w:tr w:rsidR="002E6CF3" w:rsidRPr="002E6CF3" w14:paraId="167865C5" w14:textId="77777777" w:rsidTr="00032ECD">
        <w:trPr>
          <w:trHeight w:val="273"/>
        </w:trPr>
        <w:tc>
          <w:tcPr>
            <w:tcW w:w="1134" w:type="dxa"/>
            <w:shd w:val="clear" w:color="auto" w:fill="auto"/>
            <w:vAlign w:val="center"/>
            <w:hideMark/>
          </w:tcPr>
          <w:p w14:paraId="30E6A91C" w14:textId="77777777" w:rsidR="00FB71FB" w:rsidRPr="002E6CF3" w:rsidRDefault="00FB71FB" w:rsidP="00FB71FB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eastAsia="ru-RU"/>
              </w:rPr>
              <w:t>з ПДВ</w:t>
            </w:r>
          </w:p>
        </w:tc>
        <w:tc>
          <w:tcPr>
            <w:tcW w:w="1417" w:type="dxa"/>
            <w:shd w:val="clear" w:color="auto" w:fill="auto"/>
            <w:hideMark/>
          </w:tcPr>
          <w:p w14:paraId="1BF25ECE" w14:textId="1EB28FEA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1 152,48</w:t>
            </w:r>
          </w:p>
        </w:tc>
        <w:tc>
          <w:tcPr>
            <w:tcW w:w="1276" w:type="dxa"/>
            <w:shd w:val="clear" w:color="auto" w:fill="auto"/>
            <w:hideMark/>
          </w:tcPr>
          <w:p w14:paraId="3C2BD130" w14:textId="3381A8C3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1 369,67</w:t>
            </w:r>
          </w:p>
        </w:tc>
        <w:tc>
          <w:tcPr>
            <w:tcW w:w="1701" w:type="dxa"/>
            <w:shd w:val="clear" w:color="auto" w:fill="auto"/>
            <w:hideMark/>
          </w:tcPr>
          <w:p w14:paraId="7804FBCC" w14:textId="35A92828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1 368,67</w:t>
            </w:r>
          </w:p>
        </w:tc>
        <w:tc>
          <w:tcPr>
            <w:tcW w:w="1276" w:type="dxa"/>
            <w:shd w:val="clear" w:color="auto" w:fill="auto"/>
            <w:hideMark/>
          </w:tcPr>
          <w:p w14:paraId="723CA762" w14:textId="18E053BF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908,83</w:t>
            </w:r>
          </w:p>
        </w:tc>
        <w:tc>
          <w:tcPr>
            <w:tcW w:w="1275" w:type="dxa"/>
            <w:shd w:val="clear" w:color="auto" w:fill="auto"/>
            <w:hideMark/>
          </w:tcPr>
          <w:p w14:paraId="1BEE588F" w14:textId="5191F92F" w:rsidR="00FB71FB" w:rsidRPr="002E6CF3" w:rsidRDefault="0076039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  <w:lang w:val="uk-UA"/>
              </w:rPr>
              <w:t>1098,84</w:t>
            </w:r>
          </w:p>
        </w:tc>
        <w:tc>
          <w:tcPr>
            <w:tcW w:w="1560" w:type="dxa"/>
            <w:shd w:val="clear" w:color="auto" w:fill="auto"/>
            <w:hideMark/>
          </w:tcPr>
          <w:p w14:paraId="21C82677" w14:textId="22DCF6AE" w:rsidR="00FB71FB" w:rsidRPr="002E6CF3" w:rsidRDefault="0076039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  <w:lang w:val="uk-UA"/>
              </w:rPr>
              <w:t>1097,84</w:t>
            </w:r>
          </w:p>
        </w:tc>
      </w:tr>
      <w:tr w:rsidR="002E6CF3" w:rsidRPr="002E6CF3" w14:paraId="40DF04A3" w14:textId="77777777" w:rsidTr="00032ECD">
        <w:trPr>
          <w:trHeight w:val="122"/>
        </w:trPr>
        <w:tc>
          <w:tcPr>
            <w:tcW w:w="1134" w:type="dxa"/>
            <w:shd w:val="clear" w:color="auto" w:fill="auto"/>
            <w:vAlign w:val="center"/>
          </w:tcPr>
          <w:p w14:paraId="23E4F56F" w14:textId="77777777" w:rsidR="00ED067D" w:rsidRPr="002E6CF3" w:rsidRDefault="00ED067D" w:rsidP="00480D56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21A86603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Транспортування теплової енергії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545E4DE4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Постачання теплової енергії</w:t>
            </w:r>
          </w:p>
        </w:tc>
      </w:tr>
      <w:tr w:rsidR="002E6CF3" w:rsidRPr="002E6CF3" w14:paraId="1F83103E" w14:textId="77777777" w:rsidTr="00032ECD">
        <w:trPr>
          <w:trHeight w:val="465"/>
        </w:trPr>
        <w:tc>
          <w:tcPr>
            <w:tcW w:w="1134" w:type="dxa"/>
            <w:shd w:val="clear" w:color="auto" w:fill="auto"/>
            <w:vAlign w:val="center"/>
          </w:tcPr>
          <w:p w14:paraId="46C1AEC4" w14:textId="77777777" w:rsidR="00ED067D" w:rsidRPr="002E6CF3" w:rsidRDefault="00ED067D" w:rsidP="00480D56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5A6EF8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населення,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B5FEACD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бюджет,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9BF719F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інші,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6AE9D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населення,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58C4E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бюджет,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B49347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інші,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</w:p>
        </w:tc>
      </w:tr>
      <w:tr w:rsidR="002E6CF3" w:rsidRPr="002E6CF3" w14:paraId="6BBB9FD9" w14:textId="77777777" w:rsidTr="00032ECD">
        <w:trPr>
          <w:trHeight w:val="257"/>
        </w:trPr>
        <w:tc>
          <w:tcPr>
            <w:tcW w:w="1134" w:type="dxa"/>
            <w:shd w:val="clear" w:color="auto" w:fill="auto"/>
            <w:vAlign w:val="center"/>
          </w:tcPr>
          <w:p w14:paraId="0212E156" w14:textId="77777777" w:rsidR="00FB71FB" w:rsidRPr="002E6CF3" w:rsidRDefault="00FB71FB" w:rsidP="00FB71FB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eastAsia="ru-RU"/>
              </w:rPr>
              <w:t>без ПДВ</w:t>
            </w:r>
          </w:p>
        </w:tc>
        <w:tc>
          <w:tcPr>
            <w:tcW w:w="1417" w:type="dxa"/>
            <w:shd w:val="clear" w:color="auto" w:fill="auto"/>
          </w:tcPr>
          <w:p w14:paraId="295B464F" w14:textId="3E8EC389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186,39</w:t>
            </w:r>
          </w:p>
        </w:tc>
        <w:tc>
          <w:tcPr>
            <w:tcW w:w="1276" w:type="dxa"/>
            <w:shd w:val="clear" w:color="auto" w:fill="auto"/>
          </w:tcPr>
          <w:p w14:paraId="2DA502AB" w14:textId="6D22BA0C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209,04</w:t>
            </w:r>
          </w:p>
        </w:tc>
        <w:tc>
          <w:tcPr>
            <w:tcW w:w="1701" w:type="dxa"/>
            <w:shd w:val="clear" w:color="auto" w:fill="auto"/>
          </w:tcPr>
          <w:p w14:paraId="2E642CEB" w14:textId="383BB045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209,04</w:t>
            </w:r>
          </w:p>
        </w:tc>
        <w:tc>
          <w:tcPr>
            <w:tcW w:w="1276" w:type="dxa"/>
            <w:shd w:val="clear" w:color="auto" w:fill="auto"/>
          </w:tcPr>
          <w:p w14:paraId="541C0232" w14:textId="6CF64587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2E6CF3">
              <w:rPr>
                <w:rFonts w:asciiTheme="majorHAnsi" w:hAnsiTheme="majorHAnsi"/>
              </w:rPr>
              <w:t>16,65</w:t>
            </w:r>
          </w:p>
        </w:tc>
        <w:tc>
          <w:tcPr>
            <w:tcW w:w="1275" w:type="dxa"/>
            <w:shd w:val="clear" w:color="auto" w:fill="auto"/>
          </w:tcPr>
          <w:p w14:paraId="518D154D" w14:textId="3A74E9E2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16,65</w:t>
            </w:r>
          </w:p>
        </w:tc>
        <w:tc>
          <w:tcPr>
            <w:tcW w:w="1560" w:type="dxa"/>
            <w:shd w:val="clear" w:color="auto" w:fill="auto"/>
          </w:tcPr>
          <w:p w14:paraId="2C76FC59" w14:textId="76FDFCE7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16,65</w:t>
            </w:r>
          </w:p>
        </w:tc>
      </w:tr>
      <w:tr w:rsidR="002E6CF3" w:rsidRPr="002E6CF3" w14:paraId="69439B41" w14:textId="77777777" w:rsidTr="00032ECD">
        <w:trPr>
          <w:trHeight w:val="275"/>
        </w:trPr>
        <w:tc>
          <w:tcPr>
            <w:tcW w:w="1134" w:type="dxa"/>
            <w:shd w:val="clear" w:color="auto" w:fill="auto"/>
            <w:vAlign w:val="center"/>
          </w:tcPr>
          <w:p w14:paraId="17F0268B" w14:textId="77777777" w:rsidR="00FB71FB" w:rsidRPr="002E6CF3" w:rsidRDefault="00FB71FB" w:rsidP="00FB71FB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eastAsia="ru-RU"/>
              </w:rPr>
              <w:t>з ПДВ</w:t>
            </w:r>
          </w:p>
        </w:tc>
        <w:tc>
          <w:tcPr>
            <w:tcW w:w="1417" w:type="dxa"/>
            <w:shd w:val="clear" w:color="auto" w:fill="auto"/>
          </w:tcPr>
          <w:p w14:paraId="73036CBF" w14:textId="7DBF41AB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223,67</w:t>
            </w:r>
          </w:p>
        </w:tc>
        <w:tc>
          <w:tcPr>
            <w:tcW w:w="1276" w:type="dxa"/>
            <w:shd w:val="clear" w:color="auto" w:fill="auto"/>
          </w:tcPr>
          <w:p w14:paraId="656FDBD0" w14:textId="2008967C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250,85</w:t>
            </w:r>
          </w:p>
        </w:tc>
        <w:tc>
          <w:tcPr>
            <w:tcW w:w="1701" w:type="dxa"/>
            <w:shd w:val="clear" w:color="auto" w:fill="auto"/>
          </w:tcPr>
          <w:p w14:paraId="0F50A14B" w14:textId="06E837F6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250,85</w:t>
            </w:r>
          </w:p>
        </w:tc>
        <w:tc>
          <w:tcPr>
            <w:tcW w:w="1276" w:type="dxa"/>
            <w:shd w:val="clear" w:color="auto" w:fill="auto"/>
          </w:tcPr>
          <w:p w14:paraId="23486ED9" w14:textId="3C771AE9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19,98</w:t>
            </w:r>
          </w:p>
        </w:tc>
        <w:tc>
          <w:tcPr>
            <w:tcW w:w="1275" w:type="dxa"/>
            <w:shd w:val="clear" w:color="auto" w:fill="auto"/>
          </w:tcPr>
          <w:p w14:paraId="2CD141F1" w14:textId="5EEB345E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19,98</w:t>
            </w:r>
          </w:p>
        </w:tc>
        <w:tc>
          <w:tcPr>
            <w:tcW w:w="1560" w:type="dxa"/>
            <w:shd w:val="clear" w:color="auto" w:fill="auto"/>
          </w:tcPr>
          <w:p w14:paraId="72DB7C7C" w14:textId="6B71437C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19,98</w:t>
            </w:r>
          </w:p>
        </w:tc>
      </w:tr>
      <w:tr w:rsidR="002E6CF3" w:rsidRPr="002E6CF3" w14:paraId="7F74B6A1" w14:textId="77777777" w:rsidTr="00032ECD">
        <w:trPr>
          <w:trHeight w:val="280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1A7F057" w14:textId="77777777" w:rsidR="00ED067D" w:rsidRPr="002E6CF3" w:rsidRDefault="00ED067D" w:rsidP="00480D56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  <w:hideMark/>
          </w:tcPr>
          <w:p w14:paraId="02BC30BF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послуга з постачання теплової енергії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08A6BB86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послуга з постачання гарячої води</w:t>
            </w:r>
          </w:p>
        </w:tc>
      </w:tr>
      <w:tr w:rsidR="002E6CF3" w:rsidRPr="002E6CF3" w14:paraId="350D7442" w14:textId="77777777" w:rsidTr="00032ECD">
        <w:trPr>
          <w:trHeight w:val="411"/>
        </w:trPr>
        <w:tc>
          <w:tcPr>
            <w:tcW w:w="1134" w:type="dxa"/>
            <w:vMerge/>
            <w:vAlign w:val="center"/>
            <w:hideMark/>
          </w:tcPr>
          <w:p w14:paraId="3B8F431A" w14:textId="77777777" w:rsidR="00ED067D" w:rsidRPr="002E6CF3" w:rsidRDefault="00ED067D" w:rsidP="00480D56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0E1A7C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населення,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21AB8F2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бюджет,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6361B13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інші, грн/</w:t>
            </w:r>
            <w:proofErr w:type="spellStart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Гкал</w:t>
            </w:r>
            <w:proofErr w:type="spellEnd"/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64B95562" w14:textId="77777777" w:rsidR="00ED067D" w:rsidRPr="002E6CF3" w:rsidRDefault="00ED067D" w:rsidP="00480D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val="uk-UA" w:eastAsia="ru-RU"/>
              </w:rPr>
              <w:t>населення, грн/м3</w:t>
            </w:r>
          </w:p>
        </w:tc>
      </w:tr>
      <w:tr w:rsidR="002E6CF3" w:rsidRPr="002E6CF3" w14:paraId="0337FB69" w14:textId="77777777" w:rsidTr="00032ECD">
        <w:trPr>
          <w:trHeight w:val="261"/>
        </w:trPr>
        <w:tc>
          <w:tcPr>
            <w:tcW w:w="1134" w:type="dxa"/>
            <w:shd w:val="clear" w:color="auto" w:fill="auto"/>
            <w:vAlign w:val="center"/>
            <w:hideMark/>
          </w:tcPr>
          <w:p w14:paraId="6031D1C7" w14:textId="77777777" w:rsidR="00FB71FB" w:rsidRPr="002E6CF3" w:rsidRDefault="00FB71FB" w:rsidP="00FB71FB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eastAsia="ru-RU"/>
              </w:rPr>
              <w:t>без ПДВ</w:t>
            </w:r>
          </w:p>
        </w:tc>
        <w:tc>
          <w:tcPr>
            <w:tcW w:w="1417" w:type="dxa"/>
            <w:shd w:val="clear" w:color="auto" w:fill="auto"/>
            <w:hideMark/>
          </w:tcPr>
          <w:p w14:paraId="7249BC45" w14:textId="78422402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960,40</w:t>
            </w:r>
          </w:p>
        </w:tc>
        <w:tc>
          <w:tcPr>
            <w:tcW w:w="1276" w:type="dxa"/>
            <w:shd w:val="clear" w:color="auto" w:fill="auto"/>
          </w:tcPr>
          <w:p w14:paraId="11C8A25F" w14:textId="016B4345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n-US" w:eastAsia="ru-RU"/>
              </w:rPr>
            </w:pPr>
            <w:r w:rsidRPr="002E6CF3">
              <w:rPr>
                <w:rFonts w:asciiTheme="majorHAnsi" w:hAnsiTheme="majorHAnsi"/>
              </w:rPr>
              <w:t>1 141,39</w:t>
            </w:r>
          </w:p>
        </w:tc>
        <w:tc>
          <w:tcPr>
            <w:tcW w:w="1701" w:type="dxa"/>
            <w:shd w:val="clear" w:color="auto" w:fill="auto"/>
          </w:tcPr>
          <w:p w14:paraId="5909E15D" w14:textId="266EDCE8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n-US" w:eastAsia="ru-RU"/>
              </w:rPr>
            </w:pPr>
            <w:r w:rsidRPr="002E6CF3">
              <w:rPr>
                <w:rFonts w:asciiTheme="majorHAnsi" w:hAnsiTheme="majorHAnsi"/>
              </w:rPr>
              <w:t>1 140,56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6B17983B" w14:textId="345B9F1D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47,35</w:t>
            </w:r>
          </w:p>
        </w:tc>
      </w:tr>
      <w:tr w:rsidR="002E6CF3" w:rsidRPr="002E6CF3" w14:paraId="79B7C69D" w14:textId="77777777" w:rsidTr="00032ECD">
        <w:trPr>
          <w:trHeight w:val="279"/>
        </w:trPr>
        <w:tc>
          <w:tcPr>
            <w:tcW w:w="1134" w:type="dxa"/>
            <w:shd w:val="clear" w:color="auto" w:fill="auto"/>
            <w:vAlign w:val="center"/>
            <w:hideMark/>
          </w:tcPr>
          <w:p w14:paraId="15B494E2" w14:textId="77777777" w:rsidR="00FB71FB" w:rsidRPr="002E6CF3" w:rsidRDefault="00FB71FB" w:rsidP="00FB71FB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  <w:r w:rsidRPr="002E6CF3">
              <w:rPr>
                <w:rFonts w:asciiTheme="majorHAnsi" w:eastAsia="Times New Roman" w:hAnsiTheme="majorHAnsi" w:cs="Times New Roman"/>
                <w:lang w:eastAsia="ru-RU"/>
              </w:rPr>
              <w:t>з ПДВ</w:t>
            </w:r>
          </w:p>
        </w:tc>
        <w:tc>
          <w:tcPr>
            <w:tcW w:w="1417" w:type="dxa"/>
            <w:shd w:val="clear" w:color="auto" w:fill="auto"/>
            <w:hideMark/>
          </w:tcPr>
          <w:p w14:paraId="4BC05C3F" w14:textId="5E966B6E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proofErr w:type="gramStart"/>
            <w:r w:rsidRPr="002E6CF3">
              <w:rPr>
                <w:rFonts w:asciiTheme="majorHAnsi" w:hAnsiTheme="majorHAnsi"/>
              </w:rPr>
              <w:t>1  152</w:t>
            </w:r>
            <w:proofErr w:type="gramEnd"/>
            <w:r w:rsidRPr="002E6CF3">
              <w:rPr>
                <w:rFonts w:asciiTheme="majorHAnsi" w:hAnsiTheme="majorHAnsi"/>
              </w:rPr>
              <w:t>,48</w:t>
            </w:r>
          </w:p>
        </w:tc>
        <w:tc>
          <w:tcPr>
            <w:tcW w:w="1276" w:type="dxa"/>
            <w:shd w:val="clear" w:color="auto" w:fill="auto"/>
          </w:tcPr>
          <w:p w14:paraId="2D9FCBEF" w14:textId="77B5352E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1 369,67</w:t>
            </w:r>
          </w:p>
        </w:tc>
        <w:tc>
          <w:tcPr>
            <w:tcW w:w="1701" w:type="dxa"/>
            <w:shd w:val="clear" w:color="auto" w:fill="auto"/>
          </w:tcPr>
          <w:p w14:paraId="665F4AA4" w14:textId="3721E2E4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1 368,67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70BF65F8" w14:textId="5D258762" w:rsidR="00FB71FB" w:rsidRPr="002E6CF3" w:rsidRDefault="00FB71FB" w:rsidP="00FB71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uk-UA" w:eastAsia="ru-RU"/>
              </w:rPr>
            </w:pPr>
            <w:r w:rsidRPr="002E6CF3">
              <w:rPr>
                <w:rFonts w:asciiTheme="majorHAnsi" w:hAnsiTheme="majorHAnsi"/>
              </w:rPr>
              <w:t>56,82</w:t>
            </w:r>
          </w:p>
        </w:tc>
      </w:tr>
    </w:tbl>
    <w:p w14:paraId="59B6E813" w14:textId="77777777" w:rsidR="00ED067D" w:rsidRPr="00032ECD" w:rsidRDefault="00ED067D" w:rsidP="00ED067D">
      <w:pPr>
        <w:ind w:firstLine="360"/>
        <w:jc w:val="both"/>
        <w:rPr>
          <w:rFonts w:asciiTheme="majorHAnsi" w:hAnsiTheme="majorHAnsi" w:cs="Calibri"/>
          <w:lang w:val="uk-UA"/>
        </w:rPr>
      </w:pPr>
    </w:p>
    <w:p w14:paraId="24D74019" w14:textId="03A089C4" w:rsidR="00503BC8" w:rsidRPr="00032ECD" w:rsidRDefault="00503BC8" w:rsidP="00503BC8">
      <w:pPr>
        <w:jc w:val="both"/>
        <w:rPr>
          <w:rFonts w:asciiTheme="majorHAnsi" w:hAnsiTheme="majorHAnsi"/>
          <w:color w:val="1F497D"/>
          <w:lang w:val="uk-UA"/>
        </w:rPr>
      </w:pPr>
      <w:r w:rsidRPr="00032ECD">
        <w:rPr>
          <w:rFonts w:asciiTheme="majorHAnsi" w:hAnsiTheme="majorHAnsi" w:cs="Times New Roman"/>
          <w:lang w:val="uk-UA"/>
        </w:rPr>
        <w:t xml:space="preserve">З повною інформацією про зміну тарифу на теплову енергію, її транспортування, постачання, тарифів на послугу з постачання теплової енергії для  споживачів ВП «КРИВОРІЗЬКА ТЕПЛОВА ЕЛЕКТРИЧНА СТАНЦІЯ»  АТ «ДТЕК ДНІПРОЕНЕРГО» можливо ознайомитися на офіційному сайті компанії </w:t>
      </w:r>
      <w:r w:rsidRPr="00032ECD">
        <w:rPr>
          <w:rStyle w:val="a9"/>
          <w:rFonts w:asciiTheme="majorHAnsi" w:hAnsiTheme="majorHAnsi"/>
          <w:lang w:val="en-US"/>
        </w:rPr>
        <w:t>http</w:t>
      </w:r>
      <w:r w:rsidRPr="00032ECD">
        <w:rPr>
          <w:rStyle w:val="a9"/>
          <w:rFonts w:asciiTheme="majorHAnsi" w:hAnsiTheme="majorHAnsi"/>
          <w:lang w:val="uk-UA"/>
        </w:rPr>
        <w:t>://</w:t>
      </w:r>
      <w:proofErr w:type="spellStart"/>
      <w:r w:rsidRPr="00032ECD">
        <w:rPr>
          <w:rStyle w:val="a9"/>
          <w:rFonts w:asciiTheme="majorHAnsi" w:hAnsiTheme="majorHAnsi"/>
          <w:lang w:val="en-US"/>
        </w:rPr>
        <w:t>dniproenergo</w:t>
      </w:r>
      <w:proofErr w:type="spellEnd"/>
      <w:r w:rsidRPr="00032ECD">
        <w:rPr>
          <w:rStyle w:val="a9"/>
          <w:rFonts w:asciiTheme="majorHAnsi" w:hAnsiTheme="majorHAnsi"/>
          <w:lang w:val="uk-UA"/>
        </w:rPr>
        <w:t>.</w:t>
      </w:r>
      <w:r w:rsidRPr="00032ECD">
        <w:rPr>
          <w:rStyle w:val="a9"/>
          <w:rFonts w:asciiTheme="majorHAnsi" w:hAnsiTheme="majorHAnsi"/>
          <w:lang w:val="en-US"/>
        </w:rPr>
        <w:t>com</w:t>
      </w:r>
      <w:r w:rsidRPr="00032ECD">
        <w:rPr>
          <w:rStyle w:val="a9"/>
          <w:rFonts w:asciiTheme="majorHAnsi" w:hAnsiTheme="majorHAnsi"/>
          <w:lang w:val="uk-UA"/>
        </w:rPr>
        <w:t>.</w:t>
      </w:r>
      <w:proofErr w:type="spellStart"/>
      <w:r w:rsidRPr="00032ECD">
        <w:rPr>
          <w:rStyle w:val="a9"/>
          <w:rFonts w:asciiTheme="majorHAnsi" w:hAnsiTheme="majorHAnsi"/>
          <w:lang w:val="en-US"/>
        </w:rPr>
        <w:t>ua</w:t>
      </w:r>
      <w:proofErr w:type="spellEnd"/>
      <w:r w:rsidRPr="00032ECD">
        <w:rPr>
          <w:rStyle w:val="a9"/>
          <w:rFonts w:asciiTheme="majorHAnsi" w:hAnsiTheme="majorHAnsi"/>
          <w:lang w:val="uk-UA"/>
        </w:rPr>
        <w:t>/</w:t>
      </w:r>
      <w:r w:rsidRPr="00032ECD">
        <w:rPr>
          <w:rStyle w:val="a9"/>
          <w:rFonts w:asciiTheme="majorHAnsi" w:hAnsiTheme="majorHAnsi"/>
          <w:lang w:val="en-US"/>
        </w:rPr>
        <w:t>activity</w:t>
      </w:r>
      <w:r w:rsidRPr="00032ECD">
        <w:rPr>
          <w:rStyle w:val="a9"/>
          <w:rFonts w:asciiTheme="majorHAnsi" w:hAnsiTheme="majorHAnsi"/>
          <w:lang w:val="uk-UA"/>
        </w:rPr>
        <w:t>/</w:t>
      </w:r>
      <w:proofErr w:type="spellStart"/>
      <w:r w:rsidRPr="00032ECD">
        <w:rPr>
          <w:rStyle w:val="a9"/>
          <w:rFonts w:asciiTheme="majorHAnsi" w:hAnsiTheme="majorHAnsi"/>
          <w:lang w:val="en-US"/>
        </w:rPr>
        <w:t>energo</w:t>
      </w:r>
      <w:proofErr w:type="spellEnd"/>
      <w:r w:rsidRPr="00032ECD">
        <w:rPr>
          <w:rStyle w:val="a9"/>
          <w:rFonts w:asciiTheme="majorHAnsi" w:hAnsiTheme="majorHAnsi"/>
          <w:lang w:val="uk-UA"/>
        </w:rPr>
        <w:t>/</w:t>
      </w:r>
      <w:proofErr w:type="spellStart"/>
      <w:r w:rsidRPr="00032ECD">
        <w:rPr>
          <w:rStyle w:val="a9"/>
          <w:rFonts w:asciiTheme="majorHAnsi" w:hAnsiTheme="majorHAnsi"/>
          <w:lang w:val="en-US"/>
        </w:rPr>
        <w:t>taryfy</w:t>
      </w:r>
      <w:proofErr w:type="spellEnd"/>
      <w:r w:rsidRPr="00032ECD">
        <w:rPr>
          <w:rStyle w:val="a9"/>
          <w:rFonts w:asciiTheme="majorHAnsi" w:hAnsiTheme="majorHAnsi"/>
          <w:lang w:val="uk-UA"/>
        </w:rPr>
        <w:t>_</w:t>
      </w:r>
      <w:proofErr w:type="spellStart"/>
      <w:r w:rsidRPr="00032ECD">
        <w:rPr>
          <w:rStyle w:val="a9"/>
          <w:rFonts w:asciiTheme="majorHAnsi" w:hAnsiTheme="majorHAnsi"/>
          <w:lang w:val="en-US"/>
        </w:rPr>
        <w:t>kr</w:t>
      </w:r>
      <w:proofErr w:type="spellEnd"/>
      <w:r w:rsidRPr="00032ECD">
        <w:rPr>
          <w:rStyle w:val="a9"/>
          <w:rFonts w:asciiTheme="majorHAnsi" w:hAnsiTheme="majorHAnsi"/>
          <w:lang w:val="uk-UA"/>
        </w:rPr>
        <w:t>/</w:t>
      </w:r>
    </w:p>
    <w:p w14:paraId="6E548515" w14:textId="5C948CE5" w:rsidR="007E1779" w:rsidRPr="00032ECD" w:rsidRDefault="007E1779" w:rsidP="007E1779">
      <w:pPr>
        <w:shd w:val="clear" w:color="auto" w:fill="FFFFFF"/>
        <w:spacing w:after="150" w:line="240" w:lineRule="auto"/>
        <w:jc w:val="both"/>
        <w:rPr>
          <w:rFonts w:asciiTheme="majorHAnsi" w:hAnsiTheme="majorHAnsi"/>
          <w:lang w:val="uk-UA"/>
        </w:rPr>
      </w:pPr>
      <w:r w:rsidRPr="00032ECD">
        <w:rPr>
          <w:rFonts w:asciiTheme="majorHAnsi" w:hAnsiTheme="majorHAnsi"/>
          <w:b/>
          <w:lang w:val="uk-UA"/>
        </w:rPr>
        <w:t xml:space="preserve">Пропозиції та зауваження щодо запропонованих тарифів приймаються на протязі 7 календарних днів з моменту їх оприлюднення за </w:t>
      </w:r>
      <w:proofErr w:type="spellStart"/>
      <w:r w:rsidRPr="00032ECD">
        <w:rPr>
          <w:rFonts w:asciiTheme="majorHAnsi" w:hAnsiTheme="majorHAnsi"/>
          <w:b/>
          <w:lang w:val="uk-UA"/>
        </w:rPr>
        <w:t>адресою</w:t>
      </w:r>
      <w:proofErr w:type="spellEnd"/>
      <w:r w:rsidRPr="00032ECD">
        <w:rPr>
          <w:rFonts w:asciiTheme="majorHAnsi" w:hAnsiTheme="majorHAnsi"/>
          <w:b/>
          <w:lang w:val="uk-UA"/>
        </w:rPr>
        <w:t>: 53860, м. Зеленодольськ, площа Енергетиків, 1.</w:t>
      </w:r>
    </w:p>
    <w:p w14:paraId="4628FC38" w14:textId="77777777" w:rsidR="00ED067D" w:rsidRPr="00032ECD" w:rsidRDefault="00ED067D" w:rsidP="007E6EA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</w:pPr>
    </w:p>
    <w:p w14:paraId="752DBF43" w14:textId="77777777" w:rsidR="00ED067D" w:rsidRPr="00032ECD" w:rsidRDefault="00ED067D" w:rsidP="007E6EA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333333"/>
          <w:lang w:val="uk-UA" w:eastAsia="ru-RU"/>
        </w:rPr>
      </w:pPr>
    </w:p>
    <w:p w14:paraId="7C6A0C47" w14:textId="77777777" w:rsidR="007E6EA7" w:rsidRPr="00032ECD" w:rsidRDefault="007E6EA7" w:rsidP="007E6EA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333333"/>
          <w:lang w:val="uk-UA" w:eastAsia="ru-RU"/>
        </w:rPr>
      </w:pPr>
    </w:p>
    <w:sectPr w:rsidR="007E6EA7" w:rsidRPr="00032ECD" w:rsidSect="00066E03">
      <w:pgSz w:w="11906" w:h="16838"/>
      <w:pgMar w:top="510" w:right="851" w:bottom="62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D7C2E"/>
    <w:multiLevelType w:val="hybridMultilevel"/>
    <w:tmpl w:val="AEE8A1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7982"/>
    <w:multiLevelType w:val="hybridMultilevel"/>
    <w:tmpl w:val="1C36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649D8"/>
    <w:multiLevelType w:val="multilevel"/>
    <w:tmpl w:val="62A8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B0042"/>
    <w:multiLevelType w:val="hybridMultilevel"/>
    <w:tmpl w:val="7C30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199933">
    <w:abstractNumId w:val="2"/>
  </w:num>
  <w:num w:numId="2" w16cid:durableId="119953997">
    <w:abstractNumId w:val="0"/>
  </w:num>
  <w:num w:numId="3" w16cid:durableId="1048648197">
    <w:abstractNumId w:val="3"/>
  </w:num>
  <w:num w:numId="4" w16cid:durableId="1049569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790"/>
    <w:rsid w:val="00013860"/>
    <w:rsid w:val="00024993"/>
    <w:rsid w:val="00032ECD"/>
    <w:rsid w:val="000664E1"/>
    <w:rsid w:val="00066E03"/>
    <w:rsid w:val="00071EB2"/>
    <w:rsid w:val="00087305"/>
    <w:rsid w:val="00087538"/>
    <w:rsid w:val="000A3A0D"/>
    <w:rsid w:val="000B0908"/>
    <w:rsid w:val="00111185"/>
    <w:rsid w:val="001252F3"/>
    <w:rsid w:val="00133790"/>
    <w:rsid w:val="0013636D"/>
    <w:rsid w:val="001533AC"/>
    <w:rsid w:val="0017419D"/>
    <w:rsid w:val="001B7B5B"/>
    <w:rsid w:val="001E4FEF"/>
    <w:rsid w:val="001E75C9"/>
    <w:rsid w:val="001F35DD"/>
    <w:rsid w:val="001F798B"/>
    <w:rsid w:val="00203ABB"/>
    <w:rsid w:val="00223AC6"/>
    <w:rsid w:val="00232553"/>
    <w:rsid w:val="002441BC"/>
    <w:rsid w:val="00247034"/>
    <w:rsid w:val="0029037C"/>
    <w:rsid w:val="002B63C6"/>
    <w:rsid w:val="002C64A1"/>
    <w:rsid w:val="002D56BC"/>
    <w:rsid w:val="002E2A2D"/>
    <w:rsid w:val="002E6CF3"/>
    <w:rsid w:val="00307122"/>
    <w:rsid w:val="00315C64"/>
    <w:rsid w:val="00320E47"/>
    <w:rsid w:val="00321EAA"/>
    <w:rsid w:val="0032791E"/>
    <w:rsid w:val="003650E7"/>
    <w:rsid w:val="00390320"/>
    <w:rsid w:val="003F5FC8"/>
    <w:rsid w:val="003F6D19"/>
    <w:rsid w:val="00402BE2"/>
    <w:rsid w:val="00437ADA"/>
    <w:rsid w:val="004474B3"/>
    <w:rsid w:val="004618D4"/>
    <w:rsid w:val="0047109C"/>
    <w:rsid w:val="004739AC"/>
    <w:rsid w:val="004760D5"/>
    <w:rsid w:val="004922BB"/>
    <w:rsid w:val="004B0F54"/>
    <w:rsid w:val="004B12EC"/>
    <w:rsid w:val="004B1691"/>
    <w:rsid w:val="004C31B2"/>
    <w:rsid w:val="004C3634"/>
    <w:rsid w:val="004D0AE5"/>
    <w:rsid w:val="004E30ED"/>
    <w:rsid w:val="004E77C6"/>
    <w:rsid w:val="004F0A73"/>
    <w:rsid w:val="004F662D"/>
    <w:rsid w:val="00501919"/>
    <w:rsid w:val="00503BC8"/>
    <w:rsid w:val="00521480"/>
    <w:rsid w:val="00545388"/>
    <w:rsid w:val="0055623F"/>
    <w:rsid w:val="00565B5B"/>
    <w:rsid w:val="005839BA"/>
    <w:rsid w:val="005852DD"/>
    <w:rsid w:val="00590D53"/>
    <w:rsid w:val="005B10E5"/>
    <w:rsid w:val="005B5582"/>
    <w:rsid w:val="005E062E"/>
    <w:rsid w:val="005E21FF"/>
    <w:rsid w:val="006004D8"/>
    <w:rsid w:val="00607CC8"/>
    <w:rsid w:val="0062100F"/>
    <w:rsid w:val="00633D42"/>
    <w:rsid w:val="00644EF1"/>
    <w:rsid w:val="006635AD"/>
    <w:rsid w:val="00671726"/>
    <w:rsid w:val="00671EFF"/>
    <w:rsid w:val="00672302"/>
    <w:rsid w:val="00680952"/>
    <w:rsid w:val="00685358"/>
    <w:rsid w:val="006D0658"/>
    <w:rsid w:val="007030E2"/>
    <w:rsid w:val="007234F2"/>
    <w:rsid w:val="007426C7"/>
    <w:rsid w:val="0075095F"/>
    <w:rsid w:val="00756F27"/>
    <w:rsid w:val="0076039B"/>
    <w:rsid w:val="00770927"/>
    <w:rsid w:val="00777132"/>
    <w:rsid w:val="0078436C"/>
    <w:rsid w:val="007B419E"/>
    <w:rsid w:val="007D1350"/>
    <w:rsid w:val="007E0280"/>
    <w:rsid w:val="007E1779"/>
    <w:rsid w:val="007E6EA7"/>
    <w:rsid w:val="00803B4E"/>
    <w:rsid w:val="0081292D"/>
    <w:rsid w:val="008147BD"/>
    <w:rsid w:val="00815809"/>
    <w:rsid w:val="00823865"/>
    <w:rsid w:val="00831DC1"/>
    <w:rsid w:val="00872238"/>
    <w:rsid w:val="00873D9E"/>
    <w:rsid w:val="00894E57"/>
    <w:rsid w:val="00896DE4"/>
    <w:rsid w:val="008A043B"/>
    <w:rsid w:val="008B2547"/>
    <w:rsid w:val="008C1D25"/>
    <w:rsid w:val="008E27FC"/>
    <w:rsid w:val="008F334E"/>
    <w:rsid w:val="00913B42"/>
    <w:rsid w:val="00920241"/>
    <w:rsid w:val="00927652"/>
    <w:rsid w:val="00956F06"/>
    <w:rsid w:val="00976697"/>
    <w:rsid w:val="0098332E"/>
    <w:rsid w:val="009A7B76"/>
    <w:rsid w:val="009B19B9"/>
    <w:rsid w:val="009C10BE"/>
    <w:rsid w:val="009D0C75"/>
    <w:rsid w:val="009E7A48"/>
    <w:rsid w:val="00A05067"/>
    <w:rsid w:val="00A062AD"/>
    <w:rsid w:val="00A127E5"/>
    <w:rsid w:val="00A61EA5"/>
    <w:rsid w:val="00A70765"/>
    <w:rsid w:val="00A83B06"/>
    <w:rsid w:val="00AC7088"/>
    <w:rsid w:val="00AF0C77"/>
    <w:rsid w:val="00B03FDF"/>
    <w:rsid w:val="00B22D01"/>
    <w:rsid w:val="00B2495E"/>
    <w:rsid w:val="00BB4B4E"/>
    <w:rsid w:val="00BC125C"/>
    <w:rsid w:val="00BC60F3"/>
    <w:rsid w:val="00BD35B5"/>
    <w:rsid w:val="00BF4E03"/>
    <w:rsid w:val="00C0118E"/>
    <w:rsid w:val="00C0338D"/>
    <w:rsid w:val="00C54606"/>
    <w:rsid w:val="00C86D60"/>
    <w:rsid w:val="00CA184C"/>
    <w:rsid w:val="00CE7753"/>
    <w:rsid w:val="00CF0B69"/>
    <w:rsid w:val="00CF0FFD"/>
    <w:rsid w:val="00CF5E84"/>
    <w:rsid w:val="00D0588E"/>
    <w:rsid w:val="00D30B0A"/>
    <w:rsid w:val="00D34B39"/>
    <w:rsid w:val="00D372B2"/>
    <w:rsid w:val="00D51A13"/>
    <w:rsid w:val="00D60CE6"/>
    <w:rsid w:val="00D976BA"/>
    <w:rsid w:val="00DA5CBD"/>
    <w:rsid w:val="00DB04DB"/>
    <w:rsid w:val="00DC3F3F"/>
    <w:rsid w:val="00DF1369"/>
    <w:rsid w:val="00E10DFD"/>
    <w:rsid w:val="00E13B35"/>
    <w:rsid w:val="00E17E23"/>
    <w:rsid w:val="00E33141"/>
    <w:rsid w:val="00E37240"/>
    <w:rsid w:val="00E521F2"/>
    <w:rsid w:val="00E63729"/>
    <w:rsid w:val="00E65AA8"/>
    <w:rsid w:val="00E85E32"/>
    <w:rsid w:val="00EA70D0"/>
    <w:rsid w:val="00EB4A74"/>
    <w:rsid w:val="00ED067D"/>
    <w:rsid w:val="00ED3693"/>
    <w:rsid w:val="00ED5C17"/>
    <w:rsid w:val="00F21EEA"/>
    <w:rsid w:val="00F34E74"/>
    <w:rsid w:val="00F40835"/>
    <w:rsid w:val="00F51499"/>
    <w:rsid w:val="00F87D23"/>
    <w:rsid w:val="00F933D2"/>
    <w:rsid w:val="00F960E7"/>
    <w:rsid w:val="00FA39BF"/>
    <w:rsid w:val="00FB71FB"/>
    <w:rsid w:val="00FC11E2"/>
    <w:rsid w:val="00FC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8FBB"/>
  <w15:docId w15:val="{CCAAAB9E-DADF-4562-93CF-3CDF150B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240"/>
    <w:rPr>
      <w:b/>
      <w:bCs/>
    </w:rPr>
  </w:style>
  <w:style w:type="character" w:styleId="a4">
    <w:name w:val="Emphasis"/>
    <w:basedOn w:val="a0"/>
    <w:uiPriority w:val="20"/>
    <w:qFormat/>
    <w:rsid w:val="00E37240"/>
    <w:rPr>
      <w:i/>
      <w:iCs/>
    </w:rPr>
  </w:style>
  <w:style w:type="paragraph" w:styleId="a5">
    <w:name w:val="Normal (Web)"/>
    <w:basedOn w:val="a"/>
    <w:uiPriority w:val="99"/>
    <w:unhideWhenUsed/>
    <w:rsid w:val="0012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1E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04D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D3693"/>
    <w:rPr>
      <w:color w:val="0563C1"/>
      <w:u w:val="single"/>
    </w:rPr>
  </w:style>
  <w:style w:type="paragraph" w:customStyle="1" w:styleId="Default">
    <w:name w:val="Default"/>
    <w:rsid w:val="00ED06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030E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30E2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rsid w:val="007030E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30E2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030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6414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E5E9-F052-4C0B-A989-45350C9D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3229</Words>
  <Characters>1841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DTEK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Loyan Tatyana</dc:creator>
  <cp:lastModifiedBy>Usatenko Tetiana</cp:lastModifiedBy>
  <cp:revision>5</cp:revision>
  <cp:lastPrinted>2018-04-11T13:51:00Z</cp:lastPrinted>
  <dcterms:created xsi:type="dcterms:W3CDTF">2024-02-22T08:20:00Z</dcterms:created>
  <dcterms:modified xsi:type="dcterms:W3CDTF">2024-02-22T11:17:00Z</dcterms:modified>
</cp:coreProperties>
</file>