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53" w:rsidRPr="00884F9E" w:rsidRDefault="00894E57" w:rsidP="00232553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ПОВІДОМЛЕННЯ</w:t>
      </w:r>
      <w:r w:rsidRPr="00884F9E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br/>
      </w:r>
      <w:r w:rsidRPr="00884F9E">
        <w:rPr>
          <w:rFonts w:eastAsia="Times New Roman" w:cstheme="minorHAnsi"/>
          <w:b/>
          <w:bCs/>
          <w:color w:val="333333"/>
          <w:sz w:val="24"/>
          <w:szCs w:val="24"/>
          <w:lang w:val="uk-UA" w:eastAsia="ru-RU"/>
        </w:rPr>
        <w:t xml:space="preserve">про намір </w:t>
      </w:r>
      <w:r w:rsidR="006635AD" w:rsidRPr="00884F9E">
        <w:rPr>
          <w:rFonts w:eastAsia="Times New Roman" w:cstheme="minorHAnsi"/>
          <w:b/>
          <w:bCs/>
          <w:color w:val="333333"/>
          <w:sz w:val="24"/>
          <w:szCs w:val="24"/>
          <w:lang w:val="uk-UA" w:eastAsia="ru-RU"/>
        </w:rPr>
        <w:t>АТ «</w:t>
      </w:r>
      <w:r w:rsidRPr="00884F9E">
        <w:rPr>
          <w:rFonts w:eastAsia="Times New Roman" w:cstheme="minorHAnsi"/>
          <w:b/>
          <w:bCs/>
          <w:color w:val="333333"/>
          <w:sz w:val="24"/>
          <w:szCs w:val="24"/>
          <w:lang w:val="uk-UA" w:eastAsia="ru-RU"/>
        </w:rPr>
        <w:t xml:space="preserve">ДТЕК </w:t>
      </w:r>
      <w:r w:rsidR="006635AD" w:rsidRPr="00884F9E">
        <w:rPr>
          <w:rFonts w:eastAsia="Times New Roman" w:cstheme="minorHAnsi"/>
          <w:b/>
          <w:bCs/>
          <w:color w:val="333333"/>
          <w:sz w:val="24"/>
          <w:szCs w:val="24"/>
          <w:lang w:val="uk-UA" w:eastAsia="ru-RU"/>
        </w:rPr>
        <w:t>ДНІПРОЕНЕРГО»</w:t>
      </w:r>
      <w:r w:rsidRPr="00884F9E">
        <w:rPr>
          <w:rFonts w:eastAsia="Times New Roman" w:cstheme="minorHAnsi"/>
          <w:b/>
          <w:bCs/>
          <w:color w:val="333333"/>
          <w:sz w:val="24"/>
          <w:szCs w:val="24"/>
          <w:lang w:val="uk-UA" w:eastAsia="ru-RU"/>
        </w:rPr>
        <w:t xml:space="preserve"> здійснити зміну діючих тарифів на централізоване водопостачання та водовідведення</w:t>
      </w:r>
    </w:p>
    <w:p w:rsidR="00CF796B" w:rsidRPr="00884F9E" w:rsidRDefault="00351158" w:rsidP="00894E57">
      <w:pPr>
        <w:pStyle w:val="a5"/>
        <w:jc w:val="both"/>
        <w:rPr>
          <w:rFonts w:asciiTheme="minorHAnsi" w:hAnsiTheme="minorHAnsi" w:cstheme="minorHAnsi"/>
          <w:color w:val="111111"/>
          <w:lang w:val="uk-UA"/>
        </w:rPr>
      </w:pPr>
      <w:r w:rsidRPr="00884F9E">
        <w:rPr>
          <w:rFonts w:asciiTheme="minorHAnsi" w:hAnsiTheme="minorHAnsi" w:cstheme="minorHAnsi"/>
          <w:color w:val="111111"/>
          <w:lang w:val="uk-UA"/>
        </w:rPr>
        <w:t xml:space="preserve">В зв`язку з поданням в місцеві органи самоврядування м. Дніпро заяви щодо зміни діючих тарифів на послуги з централізованого водопостачання та централізованого водовідведення, встановлених Рішенням виконавчого комітету Дніпровської міської ради від 25.08.2020 р. № 820, </w:t>
      </w:r>
      <w:r w:rsidRPr="00884F9E">
        <w:rPr>
          <w:rFonts w:asciiTheme="minorHAnsi" w:hAnsiTheme="minorHAnsi" w:cstheme="minorHAnsi"/>
          <w:b/>
          <w:color w:val="111111"/>
          <w:lang w:val="uk-UA"/>
        </w:rPr>
        <w:t xml:space="preserve">АКЦІОНЕРНЕ ТОВАРИСТВО «ДТЕК ДНІПРОЕНЕРГО» </w:t>
      </w:r>
      <w:r w:rsidRPr="00884F9E">
        <w:rPr>
          <w:rFonts w:asciiTheme="minorHAnsi" w:hAnsiTheme="minorHAnsi" w:cstheme="minorHAnsi"/>
          <w:color w:val="111111"/>
          <w:lang w:val="uk-UA"/>
        </w:rPr>
        <w:t>інформує про намір здійснити зміну вищезазначених тарифів в плановому 2022 році</w:t>
      </w:r>
      <w:r w:rsidR="004449CE" w:rsidRPr="00884F9E">
        <w:rPr>
          <w:rFonts w:asciiTheme="minorHAnsi" w:hAnsiTheme="minorHAnsi" w:cstheme="minorHAnsi"/>
          <w:color w:val="111111"/>
          <w:lang w:val="uk-UA"/>
        </w:rPr>
        <w:t>.</w:t>
      </w:r>
    </w:p>
    <w:p w:rsidR="00894E57" w:rsidRPr="00884F9E" w:rsidRDefault="00894E57" w:rsidP="00894E57">
      <w:pPr>
        <w:pStyle w:val="a5"/>
        <w:jc w:val="both"/>
        <w:rPr>
          <w:rFonts w:asciiTheme="minorHAnsi" w:hAnsiTheme="minorHAnsi" w:cstheme="minorHAnsi"/>
          <w:color w:val="111111"/>
        </w:rPr>
      </w:pPr>
      <w:r w:rsidRPr="00884F9E">
        <w:rPr>
          <w:rFonts w:asciiTheme="minorHAnsi" w:hAnsiTheme="minorHAnsi" w:cstheme="minorHAnsi"/>
          <w:color w:val="111111"/>
          <w:lang w:val="uk-UA"/>
        </w:rPr>
        <w:t>Нижче наведена інформація щодо діючих тарифів та планових запропонованих тарифів</w:t>
      </w:r>
      <w:r w:rsidR="0056022B" w:rsidRPr="00884F9E">
        <w:rPr>
          <w:rFonts w:asciiTheme="minorHAnsi" w:hAnsiTheme="minorHAnsi" w:cstheme="minorHAnsi"/>
          <w:color w:val="111111"/>
        </w:rPr>
        <w:t>:</w:t>
      </w: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1253"/>
        <w:gridCol w:w="1502"/>
        <w:gridCol w:w="1271"/>
        <w:gridCol w:w="1273"/>
        <w:gridCol w:w="1563"/>
        <w:gridCol w:w="1271"/>
        <w:gridCol w:w="1140"/>
      </w:tblGrid>
      <w:tr w:rsidR="00351158" w:rsidRPr="00884F9E" w:rsidTr="00351158">
        <w:trPr>
          <w:trHeight w:val="330"/>
        </w:trPr>
        <w:tc>
          <w:tcPr>
            <w:tcW w:w="92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Діючі тарифи </w:t>
            </w:r>
          </w:p>
        </w:tc>
      </w:tr>
      <w:tr w:rsidR="00351158" w:rsidRPr="00884F9E" w:rsidTr="00351158">
        <w:trPr>
          <w:trHeight w:val="224"/>
        </w:trPr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централізоване водопостачання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централізоване водовідведення</w:t>
            </w:r>
          </w:p>
        </w:tc>
      </w:tr>
      <w:tr w:rsidR="00351158" w:rsidRPr="00884F9E" w:rsidTr="00351158">
        <w:trPr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населення,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бюджет,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інші,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населення,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бюджет,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інші,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51158" w:rsidRPr="00884F9E" w:rsidTr="00351158">
        <w:trPr>
          <w:trHeight w:val="31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8,56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8,56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8,56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4,60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4,60</w:t>
            </w:r>
          </w:p>
        </w:tc>
      </w:tr>
      <w:tr w:rsidR="00351158" w:rsidRPr="00884F9E" w:rsidTr="00351158">
        <w:trPr>
          <w:trHeight w:val="31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10,27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10,27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10,27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5,52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5,52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5,52</w:t>
            </w:r>
          </w:p>
        </w:tc>
      </w:tr>
      <w:tr w:rsidR="00351158" w:rsidRPr="00884F9E" w:rsidTr="00351158">
        <w:trPr>
          <w:trHeight w:val="330"/>
        </w:trPr>
        <w:tc>
          <w:tcPr>
            <w:tcW w:w="92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ru-RU"/>
              </w:rPr>
              <w:t>Планові тарифи (запропоновані)</w:t>
            </w:r>
          </w:p>
        </w:tc>
      </w:tr>
      <w:tr w:rsidR="00351158" w:rsidRPr="00884F9E" w:rsidTr="00351158">
        <w:trPr>
          <w:trHeight w:val="224"/>
        </w:trPr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централізоване водопостачання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централізоване водовідведення</w:t>
            </w:r>
          </w:p>
        </w:tc>
      </w:tr>
      <w:tr w:rsidR="00351158" w:rsidRPr="00884F9E" w:rsidTr="00351158">
        <w:trPr>
          <w:trHeight w:val="5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населення,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бюджет,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інші,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населення,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бюджет,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інші, грн/м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51158" w:rsidRPr="00884F9E" w:rsidTr="00351158">
        <w:trPr>
          <w:trHeight w:val="31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11,54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11,54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11,54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7,19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7,19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7,19</w:t>
            </w:r>
          </w:p>
        </w:tc>
      </w:tr>
      <w:tr w:rsidR="00351158" w:rsidRPr="00884F9E" w:rsidTr="00351158">
        <w:trPr>
          <w:trHeight w:val="31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13,85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13,85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13,85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8,63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8,63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58" w:rsidRPr="00884F9E" w:rsidRDefault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8,63</w:t>
            </w:r>
          </w:p>
        </w:tc>
      </w:tr>
    </w:tbl>
    <w:p w:rsidR="00DB04DB" w:rsidRPr="00884F9E" w:rsidRDefault="00DB04DB" w:rsidP="00321EA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111111"/>
          <w:sz w:val="24"/>
          <w:szCs w:val="24"/>
          <w:lang w:val="uk-UA" w:eastAsia="ru-RU"/>
        </w:rPr>
      </w:pPr>
    </w:p>
    <w:p w:rsidR="00894E57" w:rsidRPr="00884F9E" w:rsidRDefault="00894E57" w:rsidP="00CF0FFD">
      <w:pPr>
        <w:pStyle w:val="a6"/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b/>
          <w:color w:val="111111"/>
          <w:sz w:val="24"/>
          <w:szCs w:val="24"/>
          <w:lang w:val="uk-UA" w:eastAsia="ru-RU"/>
        </w:rPr>
        <w:t>Обґрунтування причин зміни тарифів</w:t>
      </w:r>
      <w:r w:rsidR="00232553" w:rsidRPr="00884F9E">
        <w:rPr>
          <w:rFonts w:eastAsia="Times New Roman" w:cstheme="minorHAnsi"/>
          <w:b/>
          <w:color w:val="111111"/>
          <w:sz w:val="24"/>
          <w:szCs w:val="24"/>
          <w:lang w:val="uk-UA" w:eastAsia="ru-RU"/>
        </w:rPr>
        <w:t xml:space="preserve"> на централізоване водопостачання та водовідведення</w:t>
      </w:r>
    </w:p>
    <w:p w:rsidR="00894E57" w:rsidRPr="00884F9E" w:rsidRDefault="00894E57" w:rsidP="00321EA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Метою зміни тарифів є приведення їх до економічно обґрунтованого рівня у зв’язку</w:t>
      </w:r>
      <w:r w:rsidR="00DB04D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із</w:t>
      </w:r>
      <w:r w:rsidR="00DB04D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об’єктивним </w:t>
      </w:r>
      <w:r w:rsidR="00DB04D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збільшенням витрат на оплату праці, електроенергію, </w:t>
      </w:r>
      <w:r w:rsidR="0097518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послуги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та ін.</w:t>
      </w:r>
      <w:r w:rsidR="00DB04D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</w:p>
    <w:p w:rsidR="00894E57" w:rsidRPr="00884F9E" w:rsidRDefault="00894E57" w:rsidP="00321EA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Так у порівнянні з діючими на сьогодні тарифами, на 20</w:t>
      </w:r>
      <w:r w:rsidR="00D0588E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="00351158" w:rsidRPr="00884F9E">
        <w:rPr>
          <w:rFonts w:eastAsia="Times New Roman" w:cstheme="minorHAnsi"/>
          <w:color w:val="111111"/>
          <w:sz w:val="24"/>
          <w:szCs w:val="24"/>
          <w:lang w:eastAsia="ru-RU"/>
        </w:rPr>
        <w:t>2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рік збільшу</w:t>
      </w:r>
      <w:r w:rsidR="00321EA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ються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наступні основні складові тарифів:</w:t>
      </w:r>
    </w:p>
    <w:p w:rsidR="001F35DD" w:rsidRPr="00884F9E" w:rsidRDefault="00894E57" w:rsidP="00444886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витрати на оплату праці та відрахування на соціальні заходи – на </w:t>
      </w:r>
      <w:r w:rsidR="00704A5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1548,1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тис грн, що становить </w:t>
      </w:r>
      <w:r w:rsidR="00704A5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85,1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% до витрат,</w:t>
      </w:r>
      <w:r w:rsidR="0097518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затверджених у діючих тарифах, через</w:t>
      </w:r>
      <w:r w:rsidR="00444886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збільшення 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за оста</w:t>
      </w:r>
      <w:r w:rsidR="00AD4C2D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нні два роки витрат на оплату пр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аці працівників </w:t>
      </w:r>
      <w:r w:rsidR="0097518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(підвищення заробітної плати) 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та збільшення </w:t>
      </w:r>
      <w:r w:rsidR="00444886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штатно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ї чисельності персоналу насосно-фільтрувальної станції </w:t>
      </w:r>
      <w:r w:rsidR="00AD4C2D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(лаборанти хімічного аналізу) для щогодинного аналізу питної води 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з метою </w:t>
      </w:r>
      <w:r w:rsidR="00AD4C2D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контролю її якості</w:t>
      </w:r>
      <w:r w:rsidR="00402BE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;</w:t>
      </w:r>
      <w:r w:rsidR="001F35DD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</w:p>
    <w:p w:rsidR="00894E57" w:rsidRPr="00884F9E" w:rsidRDefault="00894E57" w:rsidP="00363A48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витрати на </w:t>
      </w:r>
      <w:r w:rsidR="00363A48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електроенергію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– на </w:t>
      </w:r>
      <w:r w:rsidR="00363A48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628,53</w:t>
      </w:r>
      <w:r w:rsidR="00F960E7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тис грн, або на </w:t>
      </w:r>
      <w:r w:rsidR="00EC2E85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27,8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% до витрат,</w:t>
      </w:r>
      <w:r w:rsidR="0097518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затверджених у діючих тарифах (зростання 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діючих </w:t>
      </w:r>
      <w:r w:rsidR="00363A48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тарифів на електричну енергію</w:t>
      </w:r>
      <w:r w:rsidR="00CF796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)</w:t>
      </w:r>
      <w:r w:rsidR="00FC11E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;</w:t>
      </w:r>
    </w:p>
    <w:p w:rsidR="00110011" w:rsidRPr="00884F9E" w:rsidRDefault="00110011" w:rsidP="00110011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витрати</w:t>
      </w:r>
      <w:r w:rsidR="0058558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по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послугам з очистки стоків</w:t>
      </w:r>
      <w:r w:rsidR="00006C5F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– на 281,98</w:t>
      </w:r>
      <w:r w:rsidRPr="00884F9E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тис</w:t>
      </w:r>
      <w:r w:rsidR="00006C5F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грн, або на 11,4% до витрат, затверджених у діючих тарифах через збільшення 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діючих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тарифів</w:t>
      </w:r>
      <w:r w:rsidRPr="00884F9E">
        <w:rPr>
          <w:rFonts w:cstheme="minorHAnsi"/>
          <w:sz w:val="24"/>
          <w:szCs w:val="24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КП</w:t>
      </w:r>
      <w:r w:rsidR="005B4D81">
        <w:rPr>
          <w:rFonts w:eastAsia="Times New Roman" w:cstheme="minorHAnsi"/>
          <w:color w:val="111111"/>
          <w:sz w:val="24"/>
          <w:szCs w:val="24"/>
          <w:lang w:val="en-US" w:eastAsia="ru-RU"/>
        </w:rPr>
        <w:t> 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«Дніпроводоканал» з </w:t>
      </w:r>
      <w:r w:rsidR="00EC2E85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водовідведення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;</w:t>
      </w:r>
    </w:p>
    <w:p w:rsidR="00F960E7" w:rsidRPr="00884F9E" w:rsidRDefault="002E4A81" w:rsidP="00E85E32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амортизаційні відрахування</w:t>
      </w:r>
      <w:r w:rsidR="00E85E3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– на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="00704A5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98,79</w:t>
      </w:r>
      <w:r w:rsidR="00E85E3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тис грн або на </w:t>
      </w:r>
      <w:r w:rsidR="00704A5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81,9</w:t>
      </w:r>
      <w:r w:rsidR="00E85E3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% до витрат, затверджених у діючих тарифах, через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="005A2029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збільшення вартості основних засобів </w:t>
      </w:r>
      <w:r w:rsidR="00852BF0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в зв’язку з їх модернізацією</w:t>
      </w:r>
      <w:r w:rsidR="00E85E3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;</w:t>
      </w:r>
    </w:p>
    <w:p w:rsidR="00E85E32" w:rsidRPr="00884F9E" w:rsidRDefault="00672302" w:rsidP="006A2921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витрати по послугам </w:t>
      </w:r>
      <w:r w:rsidR="0035084C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сторонніх організацій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– на </w:t>
      </w:r>
      <w:r w:rsidR="00363A48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668,15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тис грн або </w:t>
      </w:r>
      <w:r w:rsidR="00363A48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1</w:t>
      </w:r>
      <w:r w:rsidR="00704A5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35</w:t>
      </w:r>
      <w:r w:rsidR="00363A48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,</w:t>
      </w:r>
      <w:r w:rsidR="00704A5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% до витрат, затверджених у діючих тарифах, через зростання вартості</w:t>
      </w:r>
      <w:r w:rsidR="00437AD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послуг</w:t>
      </w:r>
      <w:r w:rsidR="0035084C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. Зокрема зростання вартості послуг з охорони об’єктів </w:t>
      </w:r>
      <w:r w:rsidR="006A2921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="0035084C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в зв’язку з посиленням </w:t>
      </w:r>
      <w:r w:rsidR="00262099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умов охорони </w:t>
      </w:r>
      <w:r w:rsidR="0035084C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майна у нічний час</w:t>
      </w:r>
      <w:r w:rsidR="00437AD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.</w:t>
      </w:r>
    </w:p>
    <w:p w:rsidR="00D976BA" w:rsidRPr="00884F9E" w:rsidRDefault="00D976BA" w:rsidP="007505A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   Крім того, відповідно до </w:t>
      </w:r>
      <w:r w:rsid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Порядку </w:t>
      </w:r>
      <w:r w:rsidR="007505A9" w:rsidRP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розроблення, погодження та затвердження інвестиційних програм суб'єктів господарювання у сфері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, затвердженого наказом </w:t>
      </w:r>
      <w:r w:rsidR="007505A9" w:rsidRP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Наказ</w:t>
      </w:r>
      <w:r w:rsid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ом</w:t>
      </w:r>
      <w:r w:rsidR="007505A9" w:rsidRP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Міністерства розвитку громад та територій України</w:t>
      </w:r>
      <w:r w:rsid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від </w:t>
      </w:r>
      <w:r w:rsidR="007505A9" w:rsidRP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19</w:t>
      </w:r>
      <w:r w:rsid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.08.</w:t>
      </w:r>
      <w:r w:rsidR="007505A9" w:rsidRP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2020 року N 191</w:t>
      </w:r>
      <w:r w:rsidR="007505A9">
        <w:rPr>
          <w:rFonts w:eastAsia="Times New Roman" w:cstheme="minorHAnsi"/>
          <w:color w:val="111111"/>
          <w:sz w:val="24"/>
          <w:szCs w:val="24"/>
          <w:lang w:val="uk-UA" w:eastAsia="ru-RU"/>
        </w:rPr>
        <w:t>,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 ДТЕК ПРИДНІПРОВСЬКА ТЕС розробила та затвердила інвестиційну програму на 20</w:t>
      </w:r>
      <w:r w:rsidR="00437AD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="00CF0FFD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рік. Інвестиційна програма  спрямована на оновлення основних фондів, джерелами фінансування програми є амортизаційні відрахування  та виробничі інвестиції з прибутку (стаття в структурі та</w:t>
      </w:r>
      <w:r w:rsidR="00D60CE6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рифу «плановий прибуток»).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Протягом 20</w:t>
      </w:r>
      <w:r w:rsidR="00437AD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2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року планується виконання </w:t>
      </w:r>
      <w:r w:rsidR="00437AD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капітальн</w:t>
      </w:r>
      <w:r w:rsidR="004F0A7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ого</w:t>
      </w:r>
      <w:r w:rsidR="00437ADA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ремонт</w:t>
      </w:r>
      <w:r w:rsidR="004F0A7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у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="00A829D4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освітлювача №2 на насосно–фільтрувальній станції, </w:t>
      </w:r>
      <w:r w:rsidR="007A29C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створення геоінформаційної системи </w:t>
      </w:r>
      <w:r w:rsidR="00A829D4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мереж водопостачання та водовідведення</w:t>
      </w:r>
      <w:r w:rsidR="007A29CB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та ремонт мереж водовідведення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. </w:t>
      </w:r>
    </w:p>
    <w:p w:rsidR="00894E57" w:rsidRPr="00884F9E" w:rsidRDefault="00894E57" w:rsidP="00321EA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Таким чином плановані тарифи на централізоване водопостачання та водовідведення зростуть:</w:t>
      </w:r>
    </w:p>
    <w:p w:rsidR="00894E57" w:rsidRPr="00884F9E" w:rsidRDefault="00894E57" w:rsidP="00321EAA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централізоване водопостачання – на 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34,</w:t>
      </w:r>
      <w:r w:rsidR="008750D3" w:rsidRPr="00884F9E">
        <w:rPr>
          <w:rFonts w:eastAsia="Times New Roman" w:cstheme="minorHAnsi"/>
          <w:color w:val="111111"/>
          <w:sz w:val="24"/>
          <w:szCs w:val="24"/>
          <w:lang w:eastAsia="ru-RU"/>
        </w:rPr>
        <w:t>8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% (діючий тариф 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8,56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грн/м³ без ПДВ, запланований – 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11,54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грн/м³ без ПДВ);</w:t>
      </w:r>
    </w:p>
    <w:p w:rsidR="00894E57" w:rsidRPr="00884F9E" w:rsidRDefault="00894E57" w:rsidP="00321EAA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111111"/>
          <w:sz w:val="24"/>
          <w:szCs w:val="24"/>
          <w:lang w:val="uk-UA" w:eastAsia="ru-RU"/>
        </w:rPr>
      </w:pP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централізованого водовідведення – на 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56,3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% (діючий тариф 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4,</w:t>
      </w:r>
      <w:r w:rsidR="003F18A3" w:rsidRPr="00884F9E">
        <w:rPr>
          <w:rFonts w:eastAsia="Times New Roman" w:cstheme="minorHAnsi"/>
          <w:color w:val="111111"/>
          <w:sz w:val="24"/>
          <w:szCs w:val="24"/>
          <w:lang w:eastAsia="ru-RU"/>
        </w:rPr>
        <w:t>60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</w:t>
      </w:r>
      <w:r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грн/м³ без ПДВ, запл</w:t>
      </w:r>
      <w:r w:rsidR="00FC11E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анований – </w:t>
      </w:r>
      <w:r w:rsidR="003F18A3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>7,19</w:t>
      </w:r>
      <w:r w:rsidR="00FC11E2" w:rsidRPr="00884F9E">
        <w:rPr>
          <w:rFonts w:eastAsia="Times New Roman" w:cstheme="minorHAnsi"/>
          <w:color w:val="111111"/>
          <w:sz w:val="24"/>
          <w:szCs w:val="24"/>
          <w:lang w:val="uk-UA" w:eastAsia="ru-RU"/>
        </w:rPr>
        <w:t xml:space="preserve"> грн/м³ без ПДВ).</w:t>
      </w:r>
    </w:p>
    <w:p w:rsidR="006D0658" w:rsidRPr="00884F9E" w:rsidRDefault="006D0658" w:rsidP="00C0338D">
      <w:pPr>
        <w:jc w:val="both"/>
        <w:rPr>
          <w:rStyle w:val="a3"/>
          <w:rFonts w:cstheme="minorHAnsi"/>
          <w:b w:val="0"/>
          <w:color w:val="111111"/>
          <w:sz w:val="24"/>
          <w:szCs w:val="24"/>
          <w:lang w:val="uk-UA"/>
        </w:rPr>
      </w:pPr>
    </w:p>
    <w:p w:rsidR="006D0658" w:rsidRPr="00884F9E" w:rsidRDefault="00A062AD" w:rsidP="00C0338D">
      <w:pPr>
        <w:jc w:val="both"/>
        <w:rPr>
          <w:rFonts w:cstheme="minorHAnsi"/>
          <w:color w:val="111111"/>
          <w:sz w:val="24"/>
          <w:szCs w:val="24"/>
          <w:lang w:val="uk-UA"/>
        </w:rPr>
      </w:pPr>
      <w:r w:rsidRPr="00884F9E">
        <w:rPr>
          <w:rStyle w:val="a3"/>
          <w:rFonts w:cstheme="minorHAnsi"/>
          <w:color w:val="111111"/>
          <w:sz w:val="24"/>
          <w:szCs w:val="24"/>
          <w:lang w:val="uk-UA"/>
        </w:rPr>
        <w:t xml:space="preserve">Нижче наведена структура запропонованих економічно обґрунтованих тарифів на </w:t>
      </w:r>
      <w:r w:rsidRPr="00884F9E">
        <w:rPr>
          <w:rFonts w:cstheme="minorHAnsi"/>
          <w:color w:val="111111"/>
          <w:sz w:val="24"/>
          <w:szCs w:val="24"/>
          <w:lang w:val="uk-UA"/>
        </w:rPr>
        <w:t xml:space="preserve"> </w:t>
      </w:r>
      <w:r w:rsidRPr="00884F9E">
        <w:rPr>
          <w:rFonts w:cstheme="minorHAnsi"/>
          <w:b/>
          <w:color w:val="111111"/>
          <w:sz w:val="24"/>
          <w:szCs w:val="24"/>
          <w:lang w:val="uk-UA"/>
        </w:rPr>
        <w:t>централізоване постачання холодної води, водовідведення:</w:t>
      </w:r>
    </w:p>
    <w:tbl>
      <w:tblPr>
        <w:tblpPr w:leftFromText="180" w:rightFromText="180" w:vertAnchor="text" w:horzAnchor="margin" w:tblpXSpec="center" w:tblpY="322"/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4674"/>
        <w:gridCol w:w="1275"/>
        <w:gridCol w:w="1122"/>
        <w:gridCol w:w="1228"/>
        <w:gridCol w:w="1217"/>
      </w:tblGrid>
      <w:tr w:rsidR="00A062AD" w:rsidRPr="00884F9E" w:rsidTr="00856E0D">
        <w:trPr>
          <w:trHeight w:val="422"/>
          <w:jc w:val="center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AD" w:rsidRPr="00884F9E" w:rsidRDefault="00A062AD" w:rsidP="004B12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централізоване водопостачання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централізоване водовідведення</w:t>
            </w:r>
          </w:p>
        </w:tc>
      </w:tr>
      <w:tr w:rsidR="00A062AD" w:rsidRPr="00884F9E" w:rsidTr="00856E0D">
        <w:trPr>
          <w:trHeight w:val="430"/>
          <w:jc w:val="center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усього, тис.грн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грн/куб.м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усього, тис.грн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AD" w:rsidRPr="00884F9E" w:rsidRDefault="00A062AD" w:rsidP="00875E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грн/куб.м</w:t>
            </w:r>
          </w:p>
        </w:tc>
      </w:tr>
      <w:tr w:rsidR="00351158" w:rsidRPr="00884F9E" w:rsidTr="00856E0D">
        <w:trPr>
          <w:trHeight w:val="324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58" w:rsidRPr="00884F9E" w:rsidRDefault="00351158" w:rsidP="00351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Виробнича собівартість,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10 415,44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10,55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3 748,37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58" w:rsidRPr="00884F9E" w:rsidRDefault="00351158" w:rsidP="006F1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5,63</w:t>
            </w:r>
          </w:p>
        </w:tc>
      </w:tr>
      <w:tr w:rsidR="00351158" w:rsidRPr="00884F9E" w:rsidTr="00856E0D">
        <w:trPr>
          <w:trHeight w:val="286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58" w:rsidRPr="00884F9E" w:rsidRDefault="00351158" w:rsidP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5 545,72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5,62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58" w:rsidRPr="00884F9E" w:rsidRDefault="00351158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2 866,03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58" w:rsidRPr="00884F9E" w:rsidRDefault="00351158" w:rsidP="006F1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4,31</w:t>
            </w:r>
          </w:p>
        </w:tc>
      </w:tr>
      <w:tr w:rsidR="00351158" w:rsidRPr="00884F9E" w:rsidTr="00856E0D">
        <w:trPr>
          <w:trHeight w:val="46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58" w:rsidRPr="00884F9E" w:rsidRDefault="00351158" w:rsidP="00351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послуги сторонніх підприємств з очистки стоків(КП "Дніпроводоканал)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58" w:rsidRPr="00884F9E" w:rsidRDefault="00351158" w:rsidP="003511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58" w:rsidRPr="00884F9E" w:rsidRDefault="00351158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2 759,75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158" w:rsidRPr="00884F9E" w:rsidRDefault="00351158" w:rsidP="006F1F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4,15</w:t>
            </w:r>
          </w:p>
        </w:tc>
      </w:tr>
      <w:tr w:rsidR="003F18A3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3" w:rsidRPr="00884F9E" w:rsidRDefault="003F18A3" w:rsidP="003F18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A3" w:rsidRPr="00884F9E" w:rsidRDefault="003F18A3" w:rsidP="003F18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2 891,26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8A3" w:rsidRPr="00884F9E" w:rsidRDefault="003F18A3" w:rsidP="003F18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2,93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A3" w:rsidRPr="00884F9E" w:rsidRDefault="003F18A3" w:rsidP="002D3C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8A3" w:rsidRPr="00884F9E" w:rsidRDefault="003F18A3" w:rsidP="003F18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витрати на реагенти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1 675,01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1,70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84" w:rsidRPr="00884F9E" w:rsidRDefault="00726F84" w:rsidP="002D3C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0,00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 xml:space="preserve">інші прямі матеріальні витрати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979,45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0,99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106,28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0,16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прямі 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2 143,62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2,17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616,29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0,93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2 726,10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2,76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84" w:rsidRPr="00884F9E" w:rsidRDefault="00726F84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266,05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0,39</w:t>
            </w:r>
          </w:p>
        </w:tc>
      </w:tr>
      <w:tr w:rsidR="00726F84" w:rsidRPr="00884F9E" w:rsidTr="00856E0D">
        <w:trPr>
          <w:trHeight w:val="523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471,60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0,48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135,58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0,20</w:t>
            </w:r>
          </w:p>
        </w:tc>
      </w:tr>
      <w:tr w:rsidR="00726F84" w:rsidRPr="00884F9E" w:rsidTr="00856E0D">
        <w:trPr>
          <w:trHeight w:val="665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амортизація виробничих основних засобів та нематеріальних активів, безпосередньо пов'язаних з наданням послуги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556,18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0,56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107,62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0,16</w:t>
            </w:r>
          </w:p>
        </w:tc>
      </w:tr>
      <w:tr w:rsidR="00726F84" w:rsidRPr="00884F9E" w:rsidTr="00856E0D">
        <w:trPr>
          <w:trHeight w:val="278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1698,32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1,72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010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22,85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0,03</w:t>
            </w:r>
          </w:p>
        </w:tc>
      </w:tr>
      <w:tr w:rsidR="00726F84" w:rsidRPr="00884F9E" w:rsidTr="00856E0D">
        <w:trPr>
          <w:trHeight w:val="126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Витрати на збут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180,49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0,18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148,28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0,22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Усього витрат повної собівартості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  <w:t>10595,93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uk-UA"/>
              </w:rPr>
              <w:t>10</w:t>
            </w: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,73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3896,65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5,85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Планований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796,12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0,81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895,58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1,34</w:t>
            </w:r>
          </w:p>
        </w:tc>
      </w:tr>
      <w:tr w:rsidR="00726F84" w:rsidRPr="00884F9E" w:rsidTr="00856E0D">
        <w:trPr>
          <w:trHeight w:val="58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Вартість водопостачання споживачам за відповідними тарифами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11392,05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11,54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4792,23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7,19</w:t>
            </w:r>
          </w:p>
        </w:tc>
      </w:tr>
      <w:tr w:rsidR="00726F84" w:rsidRPr="00884F9E" w:rsidTr="00856E0D">
        <w:trPr>
          <w:trHeight w:val="401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Обсяг водопостачання споживачам, усього, у т. ч. на потреби (тис.куб.м):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987,41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665,00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726F84" w:rsidRPr="00884F9E" w:rsidTr="00856E0D">
        <w:trPr>
          <w:trHeight w:val="266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населення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650,00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410,00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726F84" w:rsidRPr="00884F9E" w:rsidTr="00856E0D">
        <w:trPr>
          <w:trHeight w:val="256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бюджетних установ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46,00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130,00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726F84" w:rsidRPr="00884F9E" w:rsidTr="00856E0D">
        <w:trPr>
          <w:trHeight w:val="300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інших споживачів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291,41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125,00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726F84" w:rsidRPr="00884F9E" w:rsidTr="00856E0D">
        <w:trPr>
          <w:trHeight w:val="543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Середньозважений тариф (без ПДВ)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11,54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7,19</w:t>
            </w:r>
          </w:p>
        </w:tc>
      </w:tr>
      <w:tr w:rsidR="00726F84" w:rsidRPr="00884F9E" w:rsidTr="00856E0D">
        <w:trPr>
          <w:trHeight w:val="564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Середньозважений тариф (з ПДВ)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13,85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4" w:rsidRPr="00884F9E" w:rsidRDefault="00726F84" w:rsidP="00726F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84F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uk-UA"/>
              </w:rPr>
              <w:t>8,63</w:t>
            </w:r>
          </w:p>
        </w:tc>
      </w:tr>
    </w:tbl>
    <w:p w:rsidR="00565B5B" w:rsidRPr="00884F9E" w:rsidRDefault="00565B5B" w:rsidP="00C0338D">
      <w:pPr>
        <w:pStyle w:val="a6"/>
        <w:shd w:val="clear" w:color="auto" w:fill="FFFFFF"/>
        <w:spacing w:after="150" w:line="240" w:lineRule="auto"/>
        <w:rPr>
          <w:rFonts w:eastAsia="Times New Roman" w:cstheme="minorHAnsi"/>
          <w:b/>
          <w:color w:val="111111"/>
          <w:sz w:val="24"/>
          <w:szCs w:val="24"/>
          <w:lang w:val="uk-UA" w:eastAsia="ru-RU"/>
        </w:rPr>
      </w:pPr>
    </w:p>
    <w:p w:rsidR="00565B5B" w:rsidRPr="00884F9E" w:rsidRDefault="00565B5B" w:rsidP="00C0338D">
      <w:pPr>
        <w:pStyle w:val="a6"/>
        <w:shd w:val="clear" w:color="auto" w:fill="FFFFFF"/>
        <w:spacing w:after="150" w:line="240" w:lineRule="auto"/>
        <w:rPr>
          <w:rFonts w:eastAsia="Times New Roman" w:cstheme="minorHAnsi"/>
          <w:b/>
          <w:color w:val="111111"/>
          <w:sz w:val="24"/>
          <w:szCs w:val="24"/>
          <w:lang w:val="uk-UA" w:eastAsia="ru-RU"/>
        </w:rPr>
      </w:pPr>
    </w:p>
    <w:p w:rsidR="00770927" w:rsidRPr="00884F9E" w:rsidRDefault="00D976BA" w:rsidP="00770927">
      <w:pPr>
        <w:pStyle w:val="a5"/>
        <w:jc w:val="both"/>
        <w:rPr>
          <w:rFonts w:asciiTheme="minorHAnsi" w:hAnsiTheme="minorHAnsi" w:cstheme="minorHAnsi"/>
          <w:b/>
          <w:color w:val="111111"/>
          <w:lang w:val="uk-UA"/>
        </w:rPr>
      </w:pPr>
      <w:r w:rsidRPr="00884F9E">
        <w:rPr>
          <w:rFonts w:asciiTheme="minorHAnsi" w:hAnsiTheme="minorHAnsi" w:cstheme="minorHAnsi"/>
          <w:b/>
          <w:color w:val="111111"/>
          <w:lang w:val="uk-UA"/>
        </w:rPr>
        <w:t>П</w:t>
      </w:r>
      <w:r w:rsidR="00770927" w:rsidRPr="00884F9E">
        <w:rPr>
          <w:rFonts w:asciiTheme="minorHAnsi" w:hAnsiTheme="minorHAnsi" w:cstheme="minorHAnsi"/>
          <w:b/>
          <w:color w:val="111111"/>
          <w:lang w:val="uk-UA"/>
        </w:rPr>
        <w:t xml:space="preserve">ропозиції та зауваження </w:t>
      </w:r>
      <w:r w:rsidR="00C0338D" w:rsidRPr="00884F9E">
        <w:rPr>
          <w:rFonts w:asciiTheme="minorHAnsi" w:hAnsiTheme="minorHAnsi" w:cstheme="minorHAnsi"/>
          <w:b/>
          <w:color w:val="111111"/>
          <w:lang w:val="uk-UA"/>
        </w:rPr>
        <w:t xml:space="preserve">щодо запропонованих тарифів </w:t>
      </w:r>
      <w:r w:rsidR="00770927" w:rsidRPr="00884F9E">
        <w:rPr>
          <w:rFonts w:asciiTheme="minorHAnsi" w:hAnsiTheme="minorHAnsi" w:cstheme="minorHAnsi"/>
          <w:b/>
          <w:color w:val="111111"/>
          <w:lang w:val="uk-UA"/>
        </w:rPr>
        <w:t xml:space="preserve">приймаються </w:t>
      </w:r>
      <w:r w:rsidR="005B4D81">
        <w:rPr>
          <w:rFonts w:asciiTheme="minorHAnsi" w:hAnsiTheme="minorHAnsi" w:cstheme="minorHAnsi"/>
          <w:b/>
          <w:color w:val="111111"/>
          <w:lang w:val="uk-UA"/>
        </w:rPr>
        <w:t>в строк до 9 серпня 2021 року</w:t>
      </w:r>
      <w:r w:rsidR="00B51B0C" w:rsidRPr="00884F9E">
        <w:rPr>
          <w:rFonts w:asciiTheme="minorHAnsi" w:hAnsiTheme="minorHAnsi" w:cstheme="minorHAnsi"/>
          <w:b/>
          <w:color w:val="111111"/>
          <w:lang w:val="uk-UA"/>
        </w:rPr>
        <w:t xml:space="preserve"> </w:t>
      </w:r>
      <w:r w:rsidR="00770927" w:rsidRPr="00884F9E">
        <w:rPr>
          <w:rFonts w:asciiTheme="minorHAnsi" w:hAnsiTheme="minorHAnsi" w:cstheme="minorHAnsi"/>
          <w:b/>
          <w:color w:val="111111"/>
          <w:lang w:val="uk-UA"/>
        </w:rPr>
        <w:t>за адре</w:t>
      </w:r>
      <w:r w:rsidR="00321EAA" w:rsidRPr="00884F9E">
        <w:rPr>
          <w:rFonts w:asciiTheme="minorHAnsi" w:hAnsiTheme="minorHAnsi" w:cstheme="minorHAnsi"/>
          <w:b/>
          <w:color w:val="111111"/>
          <w:lang w:val="uk-UA"/>
        </w:rPr>
        <w:t>с</w:t>
      </w:r>
      <w:r w:rsidR="00770927" w:rsidRPr="00884F9E">
        <w:rPr>
          <w:rFonts w:asciiTheme="minorHAnsi" w:hAnsiTheme="minorHAnsi" w:cstheme="minorHAnsi"/>
          <w:b/>
          <w:color w:val="111111"/>
          <w:lang w:val="uk-UA"/>
        </w:rPr>
        <w:t>ою: 49112, м. Дніпро, вул. Гаванська 1</w:t>
      </w:r>
      <w:r w:rsidR="00C0338D" w:rsidRPr="00884F9E">
        <w:rPr>
          <w:rFonts w:asciiTheme="minorHAnsi" w:hAnsiTheme="minorHAnsi" w:cstheme="minorHAnsi"/>
          <w:b/>
          <w:color w:val="111111"/>
          <w:lang w:val="uk-UA"/>
        </w:rPr>
        <w:t>, факс (056) 718-91-65</w:t>
      </w:r>
      <w:r w:rsidR="00770927" w:rsidRPr="00884F9E">
        <w:rPr>
          <w:rFonts w:asciiTheme="minorHAnsi" w:hAnsiTheme="minorHAnsi" w:cstheme="minorHAnsi"/>
          <w:b/>
          <w:color w:val="111111"/>
          <w:lang w:val="uk-UA"/>
        </w:rPr>
        <w:t>.</w:t>
      </w:r>
    </w:p>
    <w:p w:rsidR="005B4D81" w:rsidRDefault="005B4D81">
      <w:pPr>
        <w:rPr>
          <w:rFonts w:cstheme="minorHAnsi"/>
          <w:sz w:val="24"/>
          <w:szCs w:val="24"/>
          <w:lang w:val="uk-UA"/>
        </w:rPr>
      </w:pPr>
    </w:p>
    <w:p w:rsidR="005B4D81" w:rsidRPr="00856E0D" w:rsidRDefault="005B4D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Оприлюднено 26.07.2021 року</w:t>
      </w:r>
    </w:p>
    <w:sectPr w:rsidR="005B4D81" w:rsidRPr="00856E0D" w:rsidSect="00C63D2E">
      <w:pgSz w:w="11906" w:h="16838"/>
      <w:pgMar w:top="130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C2E"/>
    <w:multiLevelType w:val="hybridMultilevel"/>
    <w:tmpl w:val="AEE8A1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7982"/>
    <w:multiLevelType w:val="hybridMultilevel"/>
    <w:tmpl w:val="1C3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49D8"/>
    <w:multiLevelType w:val="multilevel"/>
    <w:tmpl w:val="62A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B0042"/>
    <w:multiLevelType w:val="hybridMultilevel"/>
    <w:tmpl w:val="7C3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0"/>
    <w:rsid w:val="00006C5F"/>
    <w:rsid w:val="00024993"/>
    <w:rsid w:val="000664E1"/>
    <w:rsid w:val="00087305"/>
    <w:rsid w:val="000A3A0D"/>
    <w:rsid w:val="000B0908"/>
    <w:rsid w:val="000D0D5A"/>
    <w:rsid w:val="00110011"/>
    <w:rsid w:val="00112617"/>
    <w:rsid w:val="001252F3"/>
    <w:rsid w:val="00133790"/>
    <w:rsid w:val="0013636D"/>
    <w:rsid w:val="001533AC"/>
    <w:rsid w:val="001B7B5B"/>
    <w:rsid w:val="001E75C9"/>
    <w:rsid w:val="001F35DD"/>
    <w:rsid w:val="00232553"/>
    <w:rsid w:val="00237494"/>
    <w:rsid w:val="00247034"/>
    <w:rsid w:val="00262099"/>
    <w:rsid w:val="0029037C"/>
    <w:rsid w:val="002B63C6"/>
    <w:rsid w:val="002D3C2A"/>
    <w:rsid w:val="002E2A2D"/>
    <w:rsid w:val="002E4A81"/>
    <w:rsid w:val="00307122"/>
    <w:rsid w:val="00321EAA"/>
    <w:rsid w:val="0032791E"/>
    <w:rsid w:val="00340DE2"/>
    <w:rsid w:val="0035084C"/>
    <w:rsid w:val="00351158"/>
    <w:rsid w:val="00363A48"/>
    <w:rsid w:val="003F18A3"/>
    <w:rsid w:val="00402BE2"/>
    <w:rsid w:val="00413359"/>
    <w:rsid w:val="00437ADA"/>
    <w:rsid w:val="00444886"/>
    <w:rsid w:val="004449CE"/>
    <w:rsid w:val="004474B3"/>
    <w:rsid w:val="0047109C"/>
    <w:rsid w:val="004739AC"/>
    <w:rsid w:val="004922BB"/>
    <w:rsid w:val="004B12EC"/>
    <w:rsid w:val="004C3634"/>
    <w:rsid w:val="004F0A73"/>
    <w:rsid w:val="004F662D"/>
    <w:rsid w:val="00501919"/>
    <w:rsid w:val="005057CB"/>
    <w:rsid w:val="00521480"/>
    <w:rsid w:val="0055623F"/>
    <w:rsid w:val="0056022B"/>
    <w:rsid w:val="00565B5B"/>
    <w:rsid w:val="005852DD"/>
    <w:rsid w:val="00585582"/>
    <w:rsid w:val="00590D53"/>
    <w:rsid w:val="005A0A6E"/>
    <w:rsid w:val="005A2029"/>
    <w:rsid w:val="005B10E5"/>
    <w:rsid w:val="005B4D81"/>
    <w:rsid w:val="005B5582"/>
    <w:rsid w:val="005E062E"/>
    <w:rsid w:val="006004D8"/>
    <w:rsid w:val="00607CC8"/>
    <w:rsid w:val="0062100F"/>
    <w:rsid w:val="00633D42"/>
    <w:rsid w:val="00644EF1"/>
    <w:rsid w:val="00647893"/>
    <w:rsid w:val="006635AD"/>
    <w:rsid w:val="00672302"/>
    <w:rsid w:val="00680952"/>
    <w:rsid w:val="00685358"/>
    <w:rsid w:val="006A2921"/>
    <w:rsid w:val="006D0658"/>
    <w:rsid w:val="006F1F87"/>
    <w:rsid w:val="00701028"/>
    <w:rsid w:val="00704A5B"/>
    <w:rsid w:val="00726F84"/>
    <w:rsid w:val="007505A9"/>
    <w:rsid w:val="0075095F"/>
    <w:rsid w:val="00770927"/>
    <w:rsid w:val="00777132"/>
    <w:rsid w:val="0078436C"/>
    <w:rsid w:val="007A29CB"/>
    <w:rsid w:val="007B3B30"/>
    <w:rsid w:val="007D1350"/>
    <w:rsid w:val="007E0280"/>
    <w:rsid w:val="0081292D"/>
    <w:rsid w:val="008147BD"/>
    <w:rsid w:val="00815809"/>
    <w:rsid w:val="00831DC1"/>
    <w:rsid w:val="00852BF0"/>
    <w:rsid w:val="00856E0D"/>
    <w:rsid w:val="00872238"/>
    <w:rsid w:val="008750D3"/>
    <w:rsid w:val="00882131"/>
    <w:rsid w:val="00884F9E"/>
    <w:rsid w:val="00894E57"/>
    <w:rsid w:val="00896DE4"/>
    <w:rsid w:val="008A043B"/>
    <w:rsid w:val="008B752F"/>
    <w:rsid w:val="008C1D25"/>
    <w:rsid w:val="008C52D0"/>
    <w:rsid w:val="008E2428"/>
    <w:rsid w:val="008E7212"/>
    <w:rsid w:val="00920241"/>
    <w:rsid w:val="00927652"/>
    <w:rsid w:val="00956F06"/>
    <w:rsid w:val="00975182"/>
    <w:rsid w:val="00976697"/>
    <w:rsid w:val="0098332E"/>
    <w:rsid w:val="009A7B76"/>
    <w:rsid w:val="009B19B9"/>
    <w:rsid w:val="009C10BE"/>
    <w:rsid w:val="009E1AB2"/>
    <w:rsid w:val="009E7A48"/>
    <w:rsid w:val="00A062AD"/>
    <w:rsid w:val="00A127E5"/>
    <w:rsid w:val="00A61EA5"/>
    <w:rsid w:val="00A70765"/>
    <w:rsid w:val="00A829D4"/>
    <w:rsid w:val="00A83B06"/>
    <w:rsid w:val="00AD4C2D"/>
    <w:rsid w:val="00AF0C77"/>
    <w:rsid w:val="00B03FDF"/>
    <w:rsid w:val="00B2495E"/>
    <w:rsid w:val="00B30B9A"/>
    <w:rsid w:val="00B51B0C"/>
    <w:rsid w:val="00BC60F3"/>
    <w:rsid w:val="00BD35B5"/>
    <w:rsid w:val="00C0118E"/>
    <w:rsid w:val="00C0338D"/>
    <w:rsid w:val="00C54606"/>
    <w:rsid w:val="00C63D2E"/>
    <w:rsid w:val="00CA184C"/>
    <w:rsid w:val="00CD160D"/>
    <w:rsid w:val="00CF0B69"/>
    <w:rsid w:val="00CF0FFD"/>
    <w:rsid w:val="00CF796B"/>
    <w:rsid w:val="00D0588E"/>
    <w:rsid w:val="00D34B39"/>
    <w:rsid w:val="00D372B2"/>
    <w:rsid w:val="00D60CE6"/>
    <w:rsid w:val="00D976BA"/>
    <w:rsid w:val="00DB04DB"/>
    <w:rsid w:val="00DF1369"/>
    <w:rsid w:val="00E10DFD"/>
    <w:rsid w:val="00E13B35"/>
    <w:rsid w:val="00E17E23"/>
    <w:rsid w:val="00E33141"/>
    <w:rsid w:val="00E37240"/>
    <w:rsid w:val="00E65AA8"/>
    <w:rsid w:val="00E66F73"/>
    <w:rsid w:val="00E85E32"/>
    <w:rsid w:val="00EA70D0"/>
    <w:rsid w:val="00EB4A74"/>
    <w:rsid w:val="00EC2E85"/>
    <w:rsid w:val="00ED5C17"/>
    <w:rsid w:val="00F06CF9"/>
    <w:rsid w:val="00F51499"/>
    <w:rsid w:val="00F87D23"/>
    <w:rsid w:val="00F933D2"/>
    <w:rsid w:val="00F960E7"/>
    <w:rsid w:val="00FC11E2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AAB9E-DADF-4562-93CF-3CDF150B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240"/>
    <w:rPr>
      <w:b/>
      <w:bCs/>
    </w:rPr>
  </w:style>
  <w:style w:type="character" w:styleId="a4">
    <w:name w:val="Emphasis"/>
    <w:basedOn w:val="a0"/>
    <w:uiPriority w:val="20"/>
    <w:qFormat/>
    <w:rsid w:val="00E37240"/>
    <w:rPr>
      <w:i/>
      <w:iCs/>
    </w:rPr>
  </w:style>
  <w:style w:type="paragraph" w:styleId="a5">
    <w:name w:val="Normal (Web)"/>
    <w:basedOn w:val="a"/>
    <w:uiPriority w:val="99"/>
    <w:unhideWhenUsed/>
    <w:rsid w:val="001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1E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84F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4F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4F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4F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4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41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7391-A6BB-4874-A815-D2395B13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Loyan Tatyana</dc:creator>
  <cp:lastModifiedBy>Drobot Yuliya A.</cp:lastModifiedBy>
  <cp:revision>6</cp:revision>
  <cp:lastPrinted>2021-07-26T08:46:00Z</cp:lastPrinted>
  <dcterms:created xsi:type="dcterms:W3CDTF">2021-07-26T12:18:00Z</dcterms:created>
  <dcterms:modified xsi:type="dcterms:W3CDTF">2021-07-26T13:44:00Z</dcterms:modified>
</cp:coreProperties>
</file>