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19" w:rsidRPr="005D7C2E" w:rsidRDefault="00A30A25" w:rsidP="007302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ПОВІДОМЛЕННЯ</w:t>
      </w:r>
    </w:p>
    <w:p w:rsidR="00290203" w:rsidRDefault="00A30A25" w:rsidP="00BC5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br/>
        <w:t xml:space="preserve">про намір </w:t>
      </w:r>
      <w:r w:rsidR="000A2610" w:rsidRPr="005D7C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АКЦІОНЕРНОГО ТОВАРИСТВА </w:t>
      </w:r>
      <w:r w:rsidR="000A2610" w:rsidRPr="005D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«ДТЕК ДНІПРОЕНЕРГО» </w:t>
      </w:r>
      <w:r w:rsidR="000A2610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973C1" w:rsidRPr="005D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ВІДОКРЕМЛЕННОГО ПІДРОЗДІЛУ «КРИВОРІЗЬКА ТЕПЛОВА ЕЛЕКТРИЧНА СТАНЦІЯ» </w:t>
      </w:r>
      <w:r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здійснити зміну діюч</w:t>
      </w:r>
      <w:r w:rsidR="00290203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их</w:t>
      </w:r>
      <w:r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тарифів на </w:t>
      </w:r>
      <w:r w:rsidR="00290203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теплову енергію, </w:t>
      </w:r>
      <w:r w:rsidR="00425538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її</w:t>
      </w:r>
      <w:r w:rsidR="0044437F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7070B3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транспортування, </w:t>
      </w:r>
      <w:r w:rsidR="0044437F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постачання та тарифів</w:t>
      </w:r>
      <w:r w:rsidR="00290203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послугу </w:t>
      </w:r>
      <w:r w:rsidR="00335AF7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 постачання теплової енергії та постачання гарячої води</w:t>
      </w:r>
      <w:r w:rsidR="001C25C6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, </w:t>
      </w:r>
      <w:r w:rsidR="003B7BD4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виробленої ВІДОКРЕМЛЕНИМ</w:t>
      </w:r>
      <w:r w:rsidR="001C25C6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ПІДРОЗДІЛОМ </w:t>
      </w:r>
      <w:r w:rsidR="00BC5A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                 </w:t>
      </w:r>
      <w:r w:rsidR="001C25C6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«</w:t>
      </w:r>
      <w:r w:rsidR="0003247D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КРИВОРІЗЬКА</w:t>
      </w:r>
      <w:r w:rsidR="001C25C6" w:rsidRPr="005D7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ТЕПЛОВА ЕЛЕКТРИЧНА СТАНЦІЯ»</w:t>
      </w:r>
    </w:p>
    <w:p w:rsidR="00BC5AD6" w:rsidRPr="005D7C2E" w:rsidRDefault="00BC5AD6" w:rsidP="00BC5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2300F1" w:rsidRPr="005D7C2E" w:rsidRDefault="001C25C6" w:rsidP="002300F1">
      <w:pPr>
        <w:pStyle w:val="Default"/>
        <w:jc w:val="both"/>
        <w:rPr>
          <w:color w:val="000000" w:themeColor="text1"/>
          <w:lang w:val="uk-UA"/>
        </w:rPr>
      </w:pPr>
      <w:r w:rsidRPr="005D7C2E">
        <w:rPr>
          <w:color w:val="000000" w:themeColor="text1"/>
          <w:lang w:val="uk-UA"/>
        </w:rPr>
        <w:t xml:space="preserve">      </w:t>
      </w:r>
      <w:r w:rsidR="002300F1" w:rsidRPr="005D7C2E">
        <w:rPr>
          <w:lang w:val="uk-UA"/>
        </w:rPr>
        <w:t xml:space="preserve"> </w:t>
      </w:r>
      <w:r w:rsidR="002300F1" w:rsidRPr="005D7C2E">
        <w:rPr>
          <w:color w:val="000000" w:themeColor="text1"/>
          <w:lang w:val="uk-UA"/>
        </w:rPr>
        <w:t xml:space="preserve">На виконання наказу Міністерства регіонального розвитку, будівництва та житлово-комунального господарства України від </w:t>
      </w:r>
      <w:r w:rsidR="00741DFD" w:rsidRPr="005D7C2E">
        <w:rPr>
          <w:color w:val="000000" w:themeColor="text1"/>
          <w:lang w:val="uk-UA"/>
        </w:rPr>
        <w:t>05</w:t>
      </w:r>
      <w:r w:rsidR="002300F1" w:rsidRPr="005D7C2E">
        <w:rPr>
          <w:color w:val="000000" w:themeColor="text1"/>
          <w:lang w:val="uk-UA"/>
        </w:rPr>
        <w:t>.0</w:t>
      </w:r>
      <w:r w:rsidR="00741DFD" w:rsidRPr="005D7C2E">
        <w:rPr>
          <w:color w:val="000000" w:themeColor="text1"/>
          <w:lang w:val="uk-UA"/>
        </w:rPr>
        <w:t>6</w:t>
      </w:r>
      <w:r w:rsidR="002300F1" w:rsidRPr="005D7C2E">
        <w:rPr>
          <w:color w:val="000000" w:themeColor="text1"/>
          <w:lang w:val="uk-UA"/>
        </w:rPr>
        <w:t>.201</w:t>
      </w:r>
      <w:r w:rsidR="00741DFD" w:rsidRPr="005D7C2E">
        <w:rPr>
          <w:color w:val="000000" w:themeColor="text1"/>
          <w:lang w:val="uk-UA"/>
        </w:rPr>
        <w:t>8</w:t>
      </w:r>
      <w:r w:rsidR="002300F1" w:rsidRPr="005D7C2E">
        <w:rPr>
          <w:color w:val="000000" w:themeColor="text1"/>
          <w:lang w:val="uk-UA"/>
        </w:rPr>
        <w:t xml:space="preserve"> № </w:t>
      </w:r>
      <w:r w:rsidR="00741DFD" w:rsidRPr="005D7C2E">
        <w:rPr>
          <w:color w:val="000000" w:themeColor="text1"/>
          <w:lang w:val="uk-UA"/>
        </w:rPr>
        <w:t>130</w:t>
      </w:r>
      <w:r w:rsidR="002300F1" w:rsidRPr="005D7C2E">
        <w:rPr>
          <w:color w:val="000000" w:themeColor="text1"/>
          <w:lang w:val="uk-UA"/>
        </w:rPr>
        <w:t xml:space="preserve"> «</w:t>
      </w:r>
      <w:r w:rsidR="00741DFD" w:rsidRPr="005D7C2E">
        <w:rPr>
          <w:color w:val="000000" w:themeColor="text1"/>
          <w:lang w:val="uk-UA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 w:rsidR="002300F1" w:rsidRPr="005D7C2E">
        <w:rPr>
          <w:color w:val="000000" w:themeColor="text1"/>
          <w:lang w:val="uk-UA"/>
        </w:rPr>
        <w:t xml:space="preserve">», </w:t>
      </w:r>
      <w:r w:rsidR="00D46767" w:rsidRPr="005D7C2E">
        <w:rPr>
          <w:rFonts w:eastAsia="Times New Roman"/>
          <w:lang w:val="uk-UA" w:eastAsia="ru-RU"/>
        </w:rPr>
        <w:t xml:space="preserve">ВП «КРИВОРІЗЬКА ТЕПЛОВА ЕЛЕКТРИЧНА СТАНЦІЯ» АТ «ДТЕК ДНІПРОЕНЕРГО» </w:t>
      </w:r>
      <w:r w:rsidR="002300F1" w:rsidRPr="005D7C2E">
        <w:rPr>
          <w:color w:val="000000" w:themeColor="text1"/>
          <w:lang w:val="uk-UA"/>
        </w:rPr>
        <w:t xml:space="preserve">інформує про намір здійснити зміну для всіх </w:t>
      </w:r>
      <w:r w:rsidR="00AA42A6" w:rsidRPr="005D7C2E">
        <w:rPr>
          <w:color w:val="000000" w:themeColor="text1"/>
          <w:lang w:val="uk-UA"/>
        </w:rPr>
        <w:t>категорій</w:t>
      </w:r>
      <w:r w:rsidR="002300F1" w:rsidRPr="005D7C2E">
        <w:rPr>
          <w:color w:val="000000" w:themeColor="text1"/>
          <w:lang w:val="uk-UA"/>
        </w:rPr>
        <w:t xml:space="preserve"> споживачів (населення, бюджетні установи,  інші споживачі) у</w:t>
      </w:r>
      <w:r w:rsidR="00425538" w:rsidRPr="005D7C2E">
        <w:rPr>
          <w:color w:val="000000" w:themeColor="text1"/>
          <w:lang w:val="uk-UA"/>
        </w:rPr>
        <w:t xml:space="preserve"> м.</w:t>
      </w:r>
      <w:r w:rsidR="002300F1" w:rsidRPr="005D7C2E">
        <w:rPr>
          <w:color w:val="000000" w:themeColor="text1"/>
          <w:lang w:val="uk-UA"/>
        </w:rPr>
        <w:t xml:space="preserve"> </w:t>
      </w:r>
      <w:r w:rsidR="0003247D" w:rsidRPr="005D7C2E">
        <w:rPr>
          <w:color w:val="000000" w:themeColor="text1"/>
          <w:lang w:val="uk-UA"/>
        </w:rPr>
        <w:t>Зеленодольськ</w:t>
      </w:r>
      <w:r w:rsidR="002300F1" w:rsidRPr="005D7C2E">
        <w:rPr>
          <w:color w:val="000000" w:themeColor="text1"/>
          <w:lang w:val="uk-UA"/>
        </w:rPr>
        <w:t xml:space="preserve"> тарифу на теплову енергію, ії постачання, тарифу на послугу </w:t>
      </w:r>
      <w:r w:rsidR="00335AF7" w:rsidRPr="005D7C2E">
        <w:rPr>
          <w:color w:val="000000" w:themeColor="text1"/>
          <w:lang w:val="uk-UA"/>
        </w:rPr>
        <w:t>з постачання теплової енергії та постачання гарячої води</w:t>
      </w:r>
      <w:r w:rsidR="002300F1" w:rsidRPr="005D7C2E">
        <w:rPr>
          <w:color w:val="000000" w:themeColor="text1"/>
          <w:lang w:val="uk-UA"/>
        </w:rPr>
        <w:t xml:space="preserve">. </w:t>
      </w:r>
    </w:p>
    <w:p w:rsidR="00D33186" w:rsidRDefault="002300F1" w:rsidP="0084349F">
      <w:pPr>
        <w:pStyle w:val="Default"/>
        <w:jc w:val="both"/>
        <w:rPr>
          <w:color w:val="000000" w:themeColor="text1"/>
          <w:lang w:val="uk-UA"/>
        </w:rPr>
      </w:pPr>
      <w:r w:rsidRPr="005D7C2E">
        <w:rPr>
          <w:color w:val="000000" w:themeColor="text1"/>
          <w:lang w:val="uk-UA"/>
        </w:rPr>
        <w:t xml:space="preserve">      </w:t>
      </w:r>
      <w:r w:rsidR="001C25C6" w:rsidRPr="005D7C2E">
        <w:rPr>
          <w:color w:val="000000" w:themeColor="text1"/>
          <w:lang w:val="uk-UA"/>
        </w:rPr>
        <w:t>У</w:t>
      </w:r>
      <w:r w:rsidR="00A30A25" w:rsidRPr="005D7C2E">
        <w:rPr>
          <w:color w:val="000000" w:themeColor="text1"/>
          <w:lang w:val="uk-UA"/>
        </w:rPr>
        <w:t xml:space="preserve"> зв`язку з поданням в місцеві органи самоврядування м.</w:t>
      </w:r>
      <w:r w:rsidR="003B7BD4" w:rsidRPr="005D7C2E">
        <w:rPr>
          <w:color w:val="000000" w:themeColor="text1"/>
          <w:lang w:val="uk-UA"/>
        </w:rPr>
        <w:t xml:space="preserve"> </w:t>
      </w:r>
      <w:r w:rsidR="0003247D" w:rsidRPr="005D7C2E">
        <w:rPr>
          <w:color w:val="000000" w:themeColor="text1"/>
          <w:lang w:val="uk-UA"/>
        </w:rPr>
        <w:t>Зеленодольськ</w:t>
      </w:r>
      <w:r w:rsidR="00A30A25" w:rsidRPr="005D7C2E">
        <w:rPr>
          <w:color w:val="000000" w:themeColor="text1"/>
          <w:lang w:val="uk-UA"/>
        </w:rPr>
        <w:t xml:space="preserve"> </w:t>
      </w:r>
      <w:r w:rsidR="0084349F" w:rsidRPr="005D7C2E">
        <w:rPr>
          <w:color w:val="000000" w:themeColor="text1"/>
          <w:lang w:val="uk-UA"/>
        </w:rPr>
        <w:t xml:space="preserve">заяви </w:t>
      </w:r>
      <w:r w:rsidR="00A30A25" w:rsidRPr="005D7C2E">
        <w:rPr>
          <w:color w:val="000000" w:themeColor="text1"/>
          <w:lang w:val="uk-UA"/>
        </w:rPr>
        <w:t xml:space="preserve"> щодо зміни  діючих тарифів на </w:t>
      </w:r>
      <w:r w:rsidR="001C25C6" w:rsidRPr="005D7C2E">
        <w:rPr>
          <w:bCs/>
          <w:color w:val="000000" w:themeColor="text1"/>
          <w:lang w:val="uk-UA"/>
        </w:rPr>
        <w:t>теплову енергію</w:t>
      </w:r>
      <w:r w:rsidR="001C25C6" w:rsidRPr="005D7C2E">
        <w:rPr>
          <w:bCs/>
          <w:color w:val="auto"/>
          <w:lang w:val="uk-UA"/>
        </w:rPr>
        <w:t xml:space="preserve">, її </w:t>
      </w:r>
      <w:r w:rsidR="0084349F" w:rsidRPr="005D7C2E">
        <w:rPr>
          <w:bCs/>
          <w:color w:val="000000" w:themeColor="text1"/>
          <w:lang w:val="uk-UA"/>
        </w:rPr>
        <w:t xml:space="preserve">транспортування, </w:t>
      </w:r>
      <w:r w:rsidR="001C25C6" w:rsidRPr="005D7C2E">
        <w:rPr>
          <w:bCs/>
          <w:color w:val="auto"/>
          <w:lang w:val="uk-UA"/>
        </w:rPr>
        <w:t xml:space="preserve">постачання </w:t>
      </w:r>
      <w:r w:rsidR="00D15D5B" w:rsidRPr="005D7C2E">
        <w:rPr>
          <w:bCs/>
          <w:color w:val="auto"/>
          <w:lang w:val="uk-UA"/>
        </w:rPr>
        <w:t xml:space="preserve">для потреб населення, бюджетних </w:t>
      </w:r>
      <w:r w:rsidR="0003247D" w:rsidRPr="005D7C2E">
        <w:rPr>
          <w:bCs/>
          <w:color w:val="auto"/>
          <w:lang w:val="uk-UA"/>
        </w:rPr>
        <w:t xml:space="preserve"> </w:t>
      </w:r>
      <w:r w:rsidR="0084349F" w:rsidRPr="005D7C2E">
        <w:rPr>
          <w:bCs/>
          <w:color w:val="auto"/>
          <w:lang w:val="uk-UA"/>
        </w:rPr>
        <w:t xml:space="preserve">установ </w:t>
      </w:r>
      <w:r w:rsidR="00D15D5B" w:rsidRPr="005D7C2E">
        <w:rPr>
          <w:bCs/>
          <w:color w:val="auto"/>
          <w:lang w:val="uk-UA"/>
        </w:rPr>
        <w:t xml:space="preserve">та інших </w:t>
      </w:r>
      <w:r w:rsidR="00425538" w:rsidRPr="005D7C2E">
        <w:rPr>
          <w:color w:val="auto"/>
          <w:lang w:val="uk-UA"/>
        </w:rPr>
        <w:t>споживачі</w:t>
      </w:r>
      <w:r w:rsidR="00D15D5B" w:rsidRPr="005D7C2E">
        <w:rPr>
          <w:bCs/>
          <w:color w:val="auto"/>
          <w:lang w:val="uk-UA"/>
        </w:rPr>
        <w:t>в,</w:t>
      </w:r>
      <w:r w:rsidR="00D15D5B" w:rsidRPr="005D7C2E">
        <w:rPr>
          <w:bCs/>
          <w:color w:val="000000" w:themeColor="text1"/>
          <w:lang w:val="uk-UA"/>
        </w:rPr>
        <w:t xml:space="preserve"> </w:t>
      </w:r>
      <w:r w:rsidR="00D15D5B" w:rsidRPr="005D7C2E">
        <w:rPr>
          <w:color w:val="000000" w:themeColor="text1"/>
          <w:lang w:val="uk-UA"/>
        </w:rPr>
        <w:t xml:space="preserve"> встановлених </w:t>
      </w:r>
      <w:r w:rsidR="00741DFD" w:rsidRPr="005D7C2E">
        <w:rPr>
          <w:color w:val="000000" w:themeColor="text1"/>
          <w:lang w:val="uk-UA"/>
        </w:rPr>
        <w:t>рішенням</w:t>
      </w:r>
      <w:r w:rsidR="0025056B" w:rsidRPr="005D7C2E">
        <w:rPr>
          <w:color w:val="000000" w:themeColor="text1"/>
          <w:lang w:val="uk-UA"/>
        </w:rPr>
        <w:t>и</w:t>
      </w:r>
      <w:r w:rsidR="00741DFD" w:rsidRPr="005D7C2E">
        <w:rPr>
          <w:color w:val="000000" w:themeColor="text1"/>
          <w:lang w:val="uk-UA"/>
        </w:rPr>
        <w:t xml:space="preserve"> виконавч</w:t>
      </w:r>
      <w:r w:rsidR="0025056B" w:rsidRPr="005D7C2E">
        <w:rPr>
          <w:color w:val="000000" w:themeColor="text1"/>
          <w:lang w:val="uk-UA"/>
        </w:rPr>
        <w:t>ого</w:t>
      </w:r>
      <w:r w:rsidR="00741DFD" w:rsidRPr="005D7C2E">
        <w:rPr>
          <w:color w:val="000000" w:themeColor="text1"/>
          <w:lang w:val="uk-UA"/>
        </w:rPr>
        <w:t xml:space="preserve"> комітет</w:t>
      </w:r>
      <w:r w:rsidR="0025056B" w:rsidRPr="005D7C2E">
        <w:rPr>
          <w:color w:val="000000" w:themeColor="text1"/>
          <w:lang w:val="uk-UA"/>
        </w:rPr>
        <w:t>у Зеленодольської міської ради</w:t>
      </w:r>
      <w:r w:rsidR="00741DFD" w:rsidRPr="005D7C2E">
        <w:rPr>
          <w:color w:val="000000" w:themeColor="text1"/>
          <w:lang w:val="uk-UA"/>
        </w:rPr>
        <w:t xml:space="preserve">  №</w:t>
      </w:r>
      <w:r w:rsidR="0025056B" w:rsidRPr="005D7C2E">
        <w:rPr>
          <w:color w:val="000000" w:themeColor="text1"/>
          <w:lang w:val="uk-UA"/>
        </w:rPr>
        <w:t>2</w:t>
      </w:r>
      <w:r w:rsidR="00741DFD" w:rsidRPr="005D7C2E">
        <w:rPr>
          <w:color w:val="000000" w:themeColor="text1"/>
          <w:lang w:val="uk-UA"/>
        </w:rPr>
        <w:t xml:space="preserve"> від </w:t>
      </w:r>
      <w:r w:rsidR="0025056B" w:rsidRPr="005D7C2E">
        <w:rPr>
          <w:color w:val="000000" w:themeColor="text1"/>
          <w:lang w:val="uk-UA"/>
        </w:rPr>
        <w:t>03</w:t>
      </w:r>
      <w:r w:rsidR="00741DFD" w:rsidRPr="005D7C2E">
        <w:rPr>
          <w:color w:val="000000" w:themeColor="text1"/>
          <w:lang w:val="uk-UA"/>
        </w:rPr>
        <w:t>.01.2019 р. «Про встановлення тарифів на</w:t>
      </w:r>
      <w:r w:rsidR="0025056B" w:rsidRPr="005D7C2E">
        <w:rPr>
          <w:color w:val="000000" w:themeColor="text1"/>
          <w:lang w:val="uk-UA"/>
        </w:rPr>
        <w:t xml:space="preserve"> постачання</w:t>
      </w:r>
      <w:r w:rsidR="00741DFD" w:rsidRPr="005D7C2E">
        <w:rPr>
          <w:color w:val="000000" w:themeColor="text1"/>
          <w:lang w:val="uk-UA"/>
        </w:rPr>
        <w:t xml:space="preserve"> теплов</w:t>
      </w:r>
      <w:r w:rsidR="0025056B" w:rsidRPr="005D7C2E">
        <w:rPr>
          <w:color w:val="000000" w:themeColor="text1"/>
          <w:lang w:val="uk-UA"/>
        </w:rPr>
        <w:t>ої</w:t>
      </w:r>
      <w:r w:rsidR="00741DFD" w:rsidRPr="005D7C2E">
        <w:rPr>
          <w:color w:val="000000" w:themeColor="text1"/>
          <w:lang w:val="uk-UA"/>
        </w:rPr>
        <w:t xml:space="preserve"> енергі</w:t>
      </w:r>
      <w:r w:rsidR="0025056B" w:rsidRPr="005D7C2E">
        <w:rPr>
          <w:color w:val="000000" w:themeColor="text1"/>
          <w:lang w:val="uk-UA"/>
        </w:rPr>
        <w:t>ї для потреб бюджетних установ,інших споживачів, населення ВП «КРИВОРІЗЬКА ТЕПЛОВА ЕЛЕКТРИЧНА СТАНЦІЯ» АТ «ДТЕК ДНІПРОЕНЕРГО»</w:t>
      </w:r>
      <w:r w:rsidR="00741DFD" w:rsidRPr="005D7C2E">
        <w:rPr>
          <w:color w:val="000000" w:themeColor="text1"/>
          <w:lang w:val="uk-UA"/>
        </w:rPr>
        <w:t xml:space="preserve">, </w:t>
      </w:r>
      <w:r w:rsidR="0025056B" w:rsidRPr="005D7C2E">
        <w:rPr>
          <w:color w:val="000000" w:themeColor="text1"/>
          <w:lang w:val="uk-UA"/>
        </w:rPr>
        <w:t>рішеннями виконавчого комітету Зеленодольської міської ради  №3 від 03.01.2019 р. «Про встановлення тарифів на теплову енергію для потреб бюджетних установ, інших споживачів, населення, крім релігійних організацій ВП «КРИВОРІЗЬКА ТЕПЛОВА ЕЛЕКТРИЧНА СТАНЦІЯ»  АТ «ДТЕК ДНІПРОЕНЕРГО»,</w:t>
      </w:r>
      <w:r w:rsidR="00730219" w:rsidRPr="005D7C2E">
        <w:rPr>
          <w:color w:val="000000" w:themeColor="text1"/>
          <w:lang w:val="uk-UA"/>
        </w:rPr>
        <w:t xml:space="preserve"> </w:t>
      </w:r>
      <w:r w:rsidR="0025056B" w:rsidRPr="005D7C2E">
        <w:rPr>
          <w:color w:val="000000" w:themeColor="text1"/>
          <w:lang w:val="uk-UA"/>
        </w:rPr>
        <w:t>рішеннями виконавчого комітету Зеленодольської міської ради  №4 від 03.01.2019 р. «Про встановлення тарифу на послуги з централізованного опалення</w:t>
      </w:r>
      <w:r w:rsidR="00113CF6" w:rsidRPr="005D7C2E">
        <w:rPr>
          <w:color w:val="000000" w:themeColor="text1"/>
          <w:lang w:val="uk-UA"/>
        </w:rPr>
        <w:t xml:space="preserve"> та послуги з централізованного постачання гарячої води, що надаються населенню</w:t>
      </w:r>
      <w:r w:rsidR="0025056B" w:rsidRPr="005D7C2E">
        <w:rPr>
          <w:color w:val="000000" w:themeColor="text1"/>
          <w:lang w:val="uk-UA"/>
        </w:rPr>
        <w:t xml:space="preserve"> ВП «КРИВОРІЗЬКА ТЕПЛОВА ЕЛЕКТРИЧНА СТАНЦІЯ»  </w:t>
      </w:r>
      <w:r w:rsidR="00BC2B47" w:rsidRPr="005D7C2E">
        <w:rPr>
          <w:color w:val="000000" w:themeColor="text1"/>
          <w:lang w:val="uk-UA"/>
        </w:rPr>
        <w:t>АТ «ДТЕК ДНІПРОЕНЕРГО»,</w:t>
      </w:r>
      <w:r w:rsidR="00D15D5B" w:rsidRPr="005D7C2E">
        <w:rPr>
          <w:color w:val="000000" w:themeColor="text1"/>
          <w:lang w:val="uk-UA"/>
        </w:rPr>
        <w:t xml:space="preserve"> </w:t>
      </w:r>
      <w:r w:rsidR="00542CFC" w:rsidRPr="005D7C2E">
        <w:rPr>
          <w:color w:val="000000" w:themeColor="text1"/>
          <w:lang w:val="uk-UA"/>
        </w:rPr>
        <w:t xml:space="preserve"> </w:t>
      </w:r>
      <w:r w:rsidR="00A30A25" w:rsidRPr="005D7C2E">
        <w:rPr>
          <w:color w:val="000000" w:themeColor="text1"/>
          <w:lang w:val="uk-UA"/>
        </w:rPr>
        <w:t>інформує про намір здійснити зміну вищезазначених тарифів</w:t>
      </w:r>
      <w:r w:rsidR="00542CFC" w:rsidRPr="005D7C2E">
        <w:rPr>
          <w:color w:val="000000" w:themeColor="text1"/>
          <w:lang w:val="uk-UA"/>
        </w:rPr>
        <w:t>.</w:t>
      </w:r>
    </w:p>
    <w:p w:rsidR="00AB7999" w:rsidRPr="005D7C2E" w:rsidRDefault="00AB7999" w:rsidP="0084349F">
      <w:pPr>
        <w:pStyle w:val="Default"/>
        <w:jc w:val="both"/>
        <w:rPr>
          <w:color w:val="000000" w:themeColor="text1"/>
          <w:lang w:val="uk-UA"/>
        </w:rPr>
      </w:pPr>
    </w:p>
    <w:p w:rsidR="00A30A25" w:rsidRDefault="00A30A25" w:rsidP="00D33186">
      <w:pPr>
        <w:pStyle w:val="Default"/>
        <w:jc w:val="both"/>
        <w:rPr>
          <w:color w:val="000000" w:themeColor="text1"/>
          <w:lang w:val="uk-UA"/>
        </w:rPr>
      </w:pPr>
      <w:r w:rsidRPr="005D7C2E">
        <w:rPr>
          <w:color w:val="000000" w:themeColor="text1"/>
          <w:lang w:val="uk-UA"/>
        </w:rPr>
        <w:t>Нижче наведена інформація щодо діючих тарифів та планових запропонованих тарифів</w:t>
      </w:r>
    </w:p>
    <w:p w:rsidR="00AB7999" w:rsidRPr="005D7C2E" w:rsidRDefault="00AB7999" w:rsidP="00D33186">
      <w:pPr>
        <w:pStyle w:val="Default"/>
        <w:jc w:val="both"/>
        <w:rPr>
          <w:color w:val="000000" w:themeColor="text1"/>
          <w:lang w:val="uk-UA"/>
        </w:rPr>
      </w:pP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867"/>
        <w:gridCol w:w="1394"/>
        <w:gridCol w:w="1185"/>
        <w:gridCol w:w="1395"/>
        <w:gridCol w:w="1412"/>
        <w:gridCol w:w="1278"/>
      </w:tblGrid>
      <w:tr w:rsidR="00A30A25" w:rsidRPr="005D7C2E" w:rsidTr="003C463C">
        <w:trPr>
          <w:trHeight w:val="337"/>
        </w:trPr>
        <w:tc>
          <w:tcPr>
            <w:tcW w:w="9680" w:type="dxa"/>
            <w:gridSpan w:val="7"/>
            <w:shd w:val="clear" w:color="auto" w:fill="auto"/>
            <w:noWrap/>
            <w:vAlign w:val="center"/>
            <w:hideMark/>
          </w:tcPr>
          <w:p w:rsidR="00A30A25" w:rsidRPr="00AB7999" w:rsidRDefault="00A30A25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  <w:t xml:space="preserve">Діючі тарифи </w:t>
            </w:r>
          </w:p>
        </w:tc>
      </w:tr>
      <w:tr w:rsidR="00A30A25" w:rsidRPr="005D7C2E" w:rsidTr="003C463C">
        <w:trPr>
          <w:trHeight w:val="229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A30A25" w:rsidRPr="00AB7999" w:rsidRDefault="00A30A25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Теплова енергія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  <w:hideMark/>
          </w:tcPr>
          <w:p w:rsidR="00A30A25" w:rsidRPr="00AB7999" w:rsidRDefault="00DE0B72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Виробництво  теплової енергії</w:t>
            </w:r>
          </w:p>
        </w:tc>
      </w:tr>
      <w:tr w:rsidR="00DE0B72" w:rsidRPr="005D7C2E" w:rsidTr="0003247D">
        <w:trPr>
          <w:trHeight w:val="536"/>
        </w:trPr>
        <w:tc>
          <w:tcPr>
            <w:tcW w:w="1149" w:type="dxa"/>
            <w:vMerge/>
            <w:vAlign w:val="center"/>
            <w:hideMark/>
          </w:tcPr>
          <w:p w:rsidR="00A30A25" w:rsidRPr="00AB7999" w:rsidRDefault="00A30A25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інші,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A30A25" w:rsidRPr="00AB7999" w:rsidRDefault="00A30A25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інші, грн/</w:t>
            </w:r>
            <w:r w:rsidR="00DE0B72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Гкал</w:t>
            </w:r>
          </w:p>
        </w:tc>
      </w:tr>
      <w:tr w:rsidR="005666FD" w:rsidRPr="005D7C2E" w:rsidTr="0003247D">
        <w:trPr>
          <w:trHeight w:val="322"/>
        </w:trPr>
        <w:tc>
          <w:tcPr>
            <w:tcW w:w="1149" w:type="dxa"/>
            <w:shd w:val="clear" w:color="auto" w:fill="auto"/>
            <w:vAlign w:val="center"/>
            <w:hideMark/>
          </w:tcPr>
          <w:p w:rsidR="005666FD" w:rsidRPr="00AB7999" w:rsidRDefault="005666FD" w:rsidP="0056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5666FD" w:rsidRPr="00AB7999" w:rsidRDefault="0003247D" w:rsidP="005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927,09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666FD" w:rsidRPr="00AB7999" w:rsidRDefault="0003247D" w:rsidP="005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927,09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66FD" w:rsidRPr="00AB7999" w:rsidRDefault="0003247D" w:rsidP="005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927,09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842,53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842,53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842,53</w:t>
            </w:r>
          </w:p>
        </w:tc>
      </w:tr>
      <w:tr w:rsidR="005666FD" w:rsidRPr="005D7C2E" w:rsidTr="0003247D">
        <w:trPr>
          <w:trHeight w:val="439"/>
        </w:trPr>
        <w:tc>
          <w:tcPr>
            <w:tcW w:w="1149" w:type="dxa"/>
            <w:shd w:val="clear" w:color="auto" w:fill="auto"/>
            <w:vAlign w:val="center"/>
            <w:hideMark/>
          </w:tcPr>
          <w:p w:rsidR="005666FD" w:rsidRPr="00AB7999" w:rsidRDefault="005666FD" w:rsidP="0056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5666FD" w:rsidRPr="00AB7999" w:rsidRDefault="0003247D" w:rsidP="005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1112,51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1112,51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1112,51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1011,04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1011,04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1011,04</w:t>
            </w:r>
          </w:p>
        </w:tc>
      </w:tr>
      <w:tr w:rsidR="008F74AB" w:rsidRPr="005D7C2E" w:rsidTr="003C463C">
        <w:trPr>
          <w:trHeight w:val="327"/>
        </w:trPr>
        <w:tc>
          <w:tcPr>
            <w:tcW w:w="1149" w:type="dxa"/>
            <w:shd w:val="clear" w:color="auto" w:fill="auto"/>
            <w:vAlign w:val="center"/>
          </w:tcPr>
          <w:p w:rsidR="008F74AB" w:rsidRPr="00AB7999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8F74AB" w:rsidRPr="00AB7999" w:rsidRDefault="008F74AB" w:rsidP="00AB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8F74AB" w:rsidRPr="00AB7999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Постачання теплової енергії</w:t>
            </w:r>
          </w:p>
        </w:tc>
      </w:tr>
      <w:tr w:rsidR="00DE0B72" w:rsidRPr="005D7C2E" w:rsidTr="0003247D">
        <w:trPr>
          <w:trHeight w:val="753"/>
        </w:trPr>
        <w:tc>
          <w:tcPr>
            <w:tcW w:w="1149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грн/Гкал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грн/Гкал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інші, грн/Гкал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бюджет, грн/Гкал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E0B72" w:rsidRPr="00AB7999" w:rsidRDefault="00DE0B72" w:rsidP="00DE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інші, грн/Гкал</w:t>
            </w:r>
          </w:p>
        </w:tc>
      </w:tr>
      <w:tr w:rsidR="005666FD" w:rsidRPr="005D7C2E" w:rsidTr="0003247D">
        <w:trPr>
          <w:trHeight w:val="433"/>
        </w:trPr>
        <w:tc>
          <w:tcPr>
            <w:tcW w:w="1149" w:type="dxa"/>
            <w:shd w:val="clear" w:color="auto" w:fill="auto"/>
            <w:vAlign w:val="center"/>
          </w:tcPr>
          <w:p w:rsidR="005666FD" w:rsidRPr="00AB7999" w:rsidRDefault="005666FD" w:rsidP="0056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666FD" w:rsidRPr="00AB7999" w:rsidRDefault="0003247D" w:rsidP="0056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75,82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75,82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75,82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8,7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8,7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8,7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</w:tr>
      <w:tr w:rsidR="005666FD" w:rsidRPr="005D7C2E" w:rsidTr="0003247D">
        <w:trPr>
          <w:trHeight w:val="555"/>
        </w:trPr>
        <w:tc>
          <w:tcPr>
            <w:tcW w:w="1149" w:type="dxa"/>
            <w:shd w:val="clear" w:color="auto" w:fill="auto"/>
            <w:vAlign w:val="center"/>
          </w:tcPr>
          <w:p w:rsidR="005666FD" w:rsidRPr="00AB7999" w:rsidRDefault="005666FD" w:rsidP="0056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90,98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90,98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666FD" w:rsidRPr="00AB7999" w:rsidRDefault="0003247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90,98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666FD" w:rsidRPr="00AB7999" w:rsidRDefault="005666FD" w:rsidP="000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10,</w:t>
            </w:r>
            <w:r w:rsidR="0003247D"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49</w:t>
            </w:r>
          </w:p>
        </w:tc>
      </w:tr>
      <w:tr w:rsidR="00BA0C3F" w:rsidRPr="005D7C2E" w:rsidTr="003C463C">
        <w:trPr>
          <w:trHeight w:val="798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BA0C3F" w:rsidRPr="005D7C2E" w:rsidRDefault="00BA0C3F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  <w:hideMark/>
          </w:tcPr>
          <w:p w:rsidR="00BA0C3F" w:rsidRPr="00AB7999" w:rsidRDefault="00BA0C3F" w:rsidP="00A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послуга з централізованого опалення  для абонентів житлових будинків з будинковими та квартирними приладами обліку теплової енергії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  <w:hideMark/>
          </w:tcPr>
          <w:p w:rsidR="00BA0C3F" w:rsidRPr="00AB7999" w:rsidRDefault="00BA0C3F" w:rsidP="00A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послуга з централізованого опалення  для абонентів житлових будинків без </w:t>
            </w: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lastRenderedPageBreak/>
              <w:t>будинкових та квартирних приладів обліку теплової енергії</w:t>
            </w:r>
          </w:p>
        </w:tc>
      </w:tr>
      <w:tr w:rsidR="00BA0C3F" w:rsidRPr="005D7C2E" w:rsidTr="005218F2">
        <w:trPr>
          <w:trHeight w:val="386"/>
        </w:trPr>
        <w:tc>
          <w:tcPr>
            <w:tcW w:w="1149" w:type="dxa"/>
            <w:vMerge/>
            <w:vAlign w:val="center"/>
            <w:hideMark/>
          </w:tcPr>
          <w:p w:rsidR="00BA0C3F" w:rsidRPr="005D7C2E" w:rsidRDefault="00BA0C3F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6" w:type="dxa"/>
            <w:gridSpan w:val="3"/>
            <w:shd w:val="clear" w:color="auto" w:fill="auto"/>
            <w:vAlign w:val="center"/>
            <w:hideMark/>
          </w:tcPr>
          <w:p w:rsidR="00BA0C3F" w:rsidRPr="00AB7999" w:rsidRDefault="00BA0C3F" w:rsidP="0026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грн/Гкал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  <w:hideMark/>
          </w:tcPr>
          <w:p w:rsidR="00BA0C3F" w:rsidRPr="00AB7999" w:rsidRDefault="00BA0C3F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грн/м2 за місяць</w:t>
            </w:r>
          </w:p>
        </w:tc>
      </w:tr>
      <w:tr w:rsidR="005218F2" w:rsidRPr="005D7C2E" w:rsidTr="005D7C2E">
        <w:trPr>
          <w:trHeight w:val="322"/>
        </w:trPr>
        <w:tc>
          <w:tcPr>
            <w:tcW w:w="1149" w:type="dxa"/>
            <w:shd w:val="clear" w:color="auto" w:fill="auto"/>
            <w:vAlign w:val="center"/>
            <w:hideMark/>
          </w:tcPr>
          <w:p w:rsidR="005218F2" w:rsidRPr="00AB7999" w:rsidRDefault="005218F2" w:rsidP="008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  <w:hideMark/>
          </w:tcPr>
          <w:p w:rsidR="005218F2" w:rsidRPr="00AB7999" w:rsidRDefault="005218F2" w:rsidP="008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937,94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5218F2" w:rsidRPr="00AB7999" w:rsidRDefault="005218F2" w:rsidP="006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24,65</w:t>
            </w:r>
          </w:p>
        </w:tc>
      </w:tr>
      <w:tr w:rsidR="005218F2" w:rsidRPr="005D7C2E" w:rsidTr="005D7C2E">
        <w:trPr>
          <w:trHeight w:val="322"/>
        </w:trPr>
        <w:tc>
          <w:tcPr>
            <w:tcW w:w="1149" w:type="dxa"/>
            <w:shd w:val="clear" w:color="auto" w:fill="auto"/>
            <w:vAlign w:val="center"/>
            <w:hideMark/>
          </w:tcPr>
          <w:p w:rsidR="005218F2" w:rsidRPr="00AB7999" w:rsidRDefault="005218F2" w:rsidP="008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  <w:hideMark/>
          </w:tcPr>
          <w:p w:rsidR="005218F2" w:rsidRPr="00AB7999" w:rsidRDefault="005218F2" w:rsidP="008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1125,53</w:t>
            </w:r>
          </w:p>
        </w:tc>
        <w:tc>
          <w:tcPr>
            <w:tcW w:w="4085" w:type="dxa"/>
            <w:gridSpan w:val="3"/>
            <w:shd w:val="clear" w:color="auto" w:fill="auto"/>
            <w:vAlign w:val="center"/>
          </w:tcPr>
          <w:p w:rsidR="005218F2" w:rsidRPr="00AB7999" w:rsidRDefault="005218F2" w:rsidP="0069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29,58</w:t>
            </w:r>
          </w:p>
        </w:tc>
      </w:tr>
      <w:tr w:rsidR="005218F2" w:rsidRPr="005D7C2E" w:rsidTr="006671D8">
        <w:trPr>
          <w:trHeight w:val="399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5218F2" w:rsidRPr="00AB7999" w:rsidRDefault="005218F2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  <w:hideMark/>
          </w:tcPr>
          <w:p w:rsidR="005218F2" w:rsidRPr="00AB7999" w:rsidRDefault="005218F2" w:rsidP="008E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послуга з централізованого постачання гарячої води</w:t>
            </w:r>
          </w:p>
        </w:tc>
      </w:tr>
      <w:tr w:rsidR="007B1BA1" w:rsidRPr="005D7C2E" w:rsidTr="006671D8">
        <w:trPr>
          <w:trHeight w:val="278"/>
        </w:trPr>
        <w:tc>
          <w:tcPr>
            <w:tcW w:w="1149" w:type="dxa"/>
            <w:vMerge/>
            <w:vAlign w:val="center"/>
            <w:hideMark/>
          </w:tcPr>
          <w:p w:rsidR="007B1BA1" w:rsidRPr="00AB7999" w:rsidRDefault="007B1BA1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31" w:type="dxa"/>
            <w:gridSpan w:val="6"/>
            <w:shd w:val="clear" w:color="auto" w:fill="auto"/>
            <w:vAlign w:val="center"/>
          </w:tcPr>
          <w:p w:rsidR="007B1BA1" w:rsidRPr="00AB7999" w:rsidRDefault="007B1BA1" w:rsidP="008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грн/м3</w:t>
            </w: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ab/>
            </w:r>
          </w:p>
        </w:tc>
      </w:tr>
      <w:tr w:rsidR="007B1BA1" w:rsidRPr="005D7C2E" w:rsidTr="005D7C2E">
        <w:trPr>
          <w:trHeight w:val="322"/>
        </w:trPr>
        <w:tc>
          <w:tcPr>
            <w:tcW w:w="1149" w:type="dxa"/>
            <w:shd w:val="clear" w:color="auto" w:fill="auto"/>
            <w:vAlign w:val="center"/>
            <w:hideMark/>
          </w:tcPr>
          <w:p w:rsidR="007B1BA1" w:rsidRPr="00AB7999" w:rsidRDefault="007B1BA1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  <w:hideMark/>
          </w:tcPr>
          <w:p w:rsidR="007B1BA1" w:rsidRPr="00AB7999" w:rsidRDefault="007B1BA1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46,24</w:t>
            </w:r>
          </w:p>
        </w:tc>
      </w:tr>
      <w:tr w:rsidR="007B1BA1" w:rsidRPr="005D7C2E" w:rsidTr="005D7C2E">
        <w:trPr>
          <w:trHeight w:val="322"/>
        </w:trPr>
        <w:tc>
          <w:tcPr>
            <w:tcW w:w="1149" w:type="dxa"/>
            <w:shd w:val="clear" w:color="auto" w:fill="auto"/>
            <w:vAlign w:val="center"/>
            <w:hideMark/>
          </w:tcPr>
          <w:p w:rsidR="007B1BA1" w:rsidRPr="00AB7999" w:rsidRDefault="007B1BA1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8531" w:type="dxa"/>
            <w:gridSpan w:val="6"/>
            <w:shd w:val="clear" w:color="auto" w:fill="auto"/>
            <w:vAlign w:val="center"/>
            <w:hideMark/>
          </w:tcPr>
          <w:p w:rsidR="007B1BA1" w:rsidRPr="00AB7999" w:rsidRDefault="007B1BA1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55,49</w:t>
            </w:r>
          </w:p>
        </w:tc>
      </w:tr>
    </w:tbl>
    <w:p w:rsidR="00B654F9" w:rsidRPr="005D7C2E" w:rsidRDefault="00B654F9" w:rsidP="00A30A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727"/>
        <w:gridCol w:w="1536"/>
        <w:gridCol w:w="7"/>
        <w:gridCol w:w="1179"/>
        <w:gridCol w:w="1629"/>
        <w:gridCol w:w="1266"/>
        <w:gridCol w:w="1189"/>
      </w:tblGrid>
      <w:tr w:rsidR="004123A9" w:rsidRPr="005D7C2E" w:rsidTr="003C463C">
        <w:trPr>
          <w:trHeight w:val="337"/>
        </w:trPr>
        <w:tc>
          <w:tcPr>
            <w:tcW w:w="9680" w:type="dxa"/>
            <w:gridSpan w:val="8"/>
            <w:shd w:val="clear" w:color="auto" w:fill="auto"/>
            <w:noWrap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  <w:t xml:space="preserve">Плановані </w:t>
            </w:r>
            <w:r w:rsidR="00BC5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  <w:t xml:space="preserve">(запропоновані) </w:t>
            </w:r>
            <w:r w:rsidRPr="00AB7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uk-UA" w:eastAsia="ru-RU"/>
              </w:rPr>
              <w:t>тарифи</w:t>
            </w:r>
          </w:p>
        </w:tc>
      </w:tr>
      <w:tr w:rsidR="004123A9" w:rsidRPr="005D7C2E" w:rsidTr="003C463C">
        <w:trPr>
          <w:trHeight w:val="229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 Теплова енергія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Виробництво  теплової енергії</w:t>
            </w:r>
          </w:p>
        </w:tc>
      </w:tr>
      <w:tr w:rsidR="004123A9" w:rsidRPr="005D7C2E" w:rsidTr="003C463C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грн/Гкал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грн/Гкал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інші, грн/Гкал 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бюджет, грн/Гкал 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інші, грн/Гкал</w:t>
            </w:r>
          </w:p>
        </w:tc>
      </w:tr>
      <w:tr w:rsidR="007B1BA1" w:rsidRPr="005D7C2E" w:rsidTr="003C463C">
        <w:trPr>
          <w:trHeight w:val="322"/>
        </w:trPr>
        <w:tc>
          <w:tcPr>
            <w:tcW w:w="1147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en-US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en-US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757,36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757,36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757,36</w:t>
            </w:r>
          </w:p>
        </w:tc>
      </w:tr>
      <w:tr w:rsidR="007B1BA1" w:rsidRPr="005D7C2E" w:rsidTr="003C463C">
        <w:trPr>
          <w:trHeight w:val="439"/>
        </w:trPr>
        <w:tc>
          <w:tcPr>
            <w:tcW w:w="1147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908,83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908,83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7B1BA1" w:rsidRPr="00AB7999" w:rsidRDefault="007B1BA1" w:rsidP="007B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908,83</w:t>
            </w:r>
          </w:p>
        </w:tc>
      </w:tr>
      <w:tr w:rsidR="008F74AB" w:rsidRPr="005D7C2E" w:rsidTr="003C463C">
        <w:trPr>
          <w:trHeight w:val="327"/>
        </w:trPr>
        <w:tc>
          <w:tcPr>
            <w:tcW w:w="1147" w:type="dxa"/>
            <w:shd w:val="clear" w:color="auto" w:fill="auto"/>
            <w:vAlign w:val="center"/>
          </w:tcPr>
          <w:p w:rsidR="008F74AB" w:rsidRPr="00AB7999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8F74AB" w:rsidRPr="00AB7999" w:rsidRDefault="00713FD2" w:rsidP="00BC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Транспортування теплової енергії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</w:tcPr>
          <w:p w:rsidR="008F74AB" w:rsidRPr="00AB7999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Постачання теплової енергії</w:t>
            </w:r>
          </w:p>
        </w:tc>
      </w:tr>
      <w:tr w:rsidR="004123A9" w:rsidRPr="005D7C2E" w:rsidTr="003C463C">
        <w:trPr>
          <w:trHeight w:val="753"/>
        </w:trPr>
        <w:tc>
          <w:tcPr>
            <w:tcW w:w="1147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грн/Гкал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грн/Гкал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інші, грн/Гкал 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населення, грн/Гкал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бюджет, грн/Гкал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23A9" w:rsidRPr="00AB7999" w:rsidRDefault="004123A9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інші, грн/Гкал</w:t>
            </w:r>
          </w:p>
        </w:tc>
      </w:tr>
      <w:tr w:rsidR="0081686F" w:rsidRPr="005D7C2E" w:rsidTr="003C463C">
        <w:trPr>
          <w:trHeight w:val="433"/>
        </w:trPr>
        <w:tc>
          <w:tcPr>
            <w:tcW w:w="1147" w:type="dxa"/>
            <w:shd w:val="clear" w:color="auto" w:fill="auto"/>
            <w:vAlign w:val="center"/>
          </w:tcPr>
          <w:p w:rsidR="0081686F" w:rsidRPr="00AB7999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196,68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196,68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196,68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1686F" w:rsidRPr="00AB7999" w:rsidRDefault="004D7E4D" w:rsidP="008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16,65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16,65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16,65</w:t>
            </w:r>
          </w:p>
        </w:tc>
      </w:tr>
      <w:tr w:rsidR="0081686F" w:rsidRPr="005D7C2E" w:rsidTr="003C463C">
        <w:trPr>
          <w:trHeight w:val="441"/>
        </w:trPr>
        <w:tc>
          <w:tcPr>
            <w:tcW w:w="1147" w:type="dxa"/>
            <w:shd w:val="clear" w:color="auto" w:fill="auto"/>
            <w:vAlign w:val="center"/>
          </w:tcPr>
          <w:p w:rsidR="0081686F" w:rsidRPr="00AB7999" w:rsidRDefault="0081686F" w:rsidP="00816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236,02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236,02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236,02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19,98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19,98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686F" w:rsidRPr="00AB7999" w:rsidRDefault="004D7E4D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19,98</w:t>
            </w:r>
          </w:p>
        </w:tc>
      </w:tr>
      <w:tr w:rsidR="008F74AB" w:rsidRPr="005D7C2E" w:rsidTr="003C463C">
        <w:trPr>
          <w:trHeight w:val="405"/>
        </w:trPr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8F74AB" w:rsidRPr="00AB7999" w:rsidRDefault="008F74AB" w:rsidP="0097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  <w:hideMark/>
          </w:tcPr>
          <w:p w:rsidR="008F74AB" w:rsidRPr="00AB7999" w:rsidRDefault="008F74AB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послуга з постачання теплової енергії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</w:tcPr>
          <w:p w:rsidR="008F74AB" w:rsidRPr="00AB7999" w:rsidRDefault="008F74AB" w:rsidP="0097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послуга з постачання гарячої води</w:t>
            </w:r>
          </w:p>
        </w:tc>
      </w:tr>
      <w:tr w:rsidR="007B1BA1" w:rsidRPr="005D7C2E" w:rsidTr="005D7C2E">
        <w:trPr>
          <w:trHeight w:val="536"/>
        </w:trPr>
        <w:tc>
          <w:tcPr>
            <w:tcW w:w="1147" w:type="dxa"/>
            <w:vMerge/>
            <w:vAlign w:val="center"/>
            <w:hideMark/>
          </w:tcPr>
          <w:p w:rsidR="007B1BA1" w:rsidRPr="00AB7999" w:rsidRDefault="007B1BA1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B1BA1" w:rsidRPr="00AB7999" w:rsidRDefault="007B1BA1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грн/Гкал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7B1BA1" w:rsidRPr="00AB7999" w:rsidRDefault="007B1BA1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бюджет, грн/Гкал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B1BA1" w:rsidRPr="00AB7999" w:rsidRDefault="007B1BA1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 xml:space="preserve">інші, грн/Гкал 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</w:tcPr>
          <w:p w:rsidR="007B1BA1" w:rsidRPr="00AB7999" w:rsidRDefault="007B1BA1" w:rsidP="008F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val="uk-UA" w:eastAsia="ru-RU"/>
              </w:rPr>
              <w:t>населення, грн/м3</w:t>
            </w:r>
          </w:p>
        </w:tc>
      </w:tr>
      <w:tr w:rsidR="007B1BA1" w:rsidRPr="005D7C2E" w:rsidTr="005D7C2E">
        <w:trPr>
          <w:trHeight w:val="420"/>
        </w:trPr>
        <w:tc>
          <w:tcPr>
            <w:tcW w:w="1147" w:type="dxa"/>
            <w:shd w:val="clear" w:color="auto" w:fill="auto"/>
            <w:vAlign w:val="center"/>
            <w:hideMark/>
          </w:tcPr>
          <w:p w:rsidR="007B1BA1" w:rsidRPr="00AB7999" w:rsidRDefault="007B1BA1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без ПДВ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en-US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en-US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970,69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</w:tcPr>
          <w:p w:rsidR="007B1BA1" w:rsidRPr="00AB7999" w:rsidRDefault="007B1BA1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47,85</w:t>
            </w:r>
          </w:p>
        </w:tc>
      </w:tr>
      <w:tr w:rsidR="007B1BA1" w:rsidRPr="005D7C2E" w:rsidTr="00DE1FAC">
        <w:trPr>
          <w:trHeight w:val="385"/>
        </w:trPr>
        <w:tc>
          <w:tcPr>
            <w:tcW w:w="1147" w:type="dxa"/>
            <w:shd w:val="clear" w:color="auto" w:fill="auto"/>
            <w:vAlign w:val="center"/>
            <w:hideMark/>
          </w:tcPr>
          <w:p w:rsidR="007B1BA1" w:rsidRPr="00AB7999" w:rsidRDefault="007B1BA1" w:rsidP="008F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B79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 ПДВ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B1BA1" w:rsidRPr="00AB7999" w:rsidRDefault="007B1BA1" w:rsidP="004D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1164,83</w:t>
            </w:r>
          </w:p>
        </w:tc>
        <w:tc>
          <w:tcPr>
            <w:tcW w:w="4084" w:type="dxa"/>
            <w:gridSpan w:val="3"/>
            <w:shd w:val="clear" w:color="auto" w:fill="auto"/>
            <w:vAlign w:val="center"/>
          </w:tcPr>
          <w:p w:rsidR="007B1BA1" w:rsidRPr="00AB7999" w:rsidRDefault="007B1BA1" w:rsidP="00C2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AB799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57,42</w:t>
            </w:r>
          </w:p>
        </w:tc>
      </w:tr>
    </w:tbl>
    <w:p w:rsidR="00953650" w:rsidRPr="005D7C2E" w:rsidRDefault="00953650" w:rsidP="00A30A25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</w:pPr>
    </w:p>
    <w:p w:rsidR="003A2762" w:rsidRPr="005D7C2E" w:rsidRDefault="00A30A25" w:rsidP="003A2762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 xml:space="preserve">Обґрунтування причин зміни тарифів на </w:t>
      </w:r>
      <w:r w:rsidR="00CF019D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 xml:space="preserve">теплову енергію, </w:t>
      </w:r>
      <w:r w:rsidR="003A2762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її постачанн</w:t>
      </w:r>
      <w:r w:rsidR="00AA42A6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я</w:t>
      </w:r>
      <w:r w:rsidR="00201F13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 xml:space="preserve">, послуги з постачання теплової енергії </w:t>
      </w:r>
      <w:r w:rsidR="003B3196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>та</w:t>
      </w:r>
      <w:r w:rsidR="00201F13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 xml:space="preserve"> постачання гарячої води</w:t>
      </w:r>
    </w:p>
    <w:p w:rsidR="00F52083" w:rsidRPr="005D7C2E" w:rsidRDefault="002C7261" w:rsidP="009808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BC0A74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Перегляд тарифів у сфері теплопостачання пов’язано зі змінами </w:t>
      </w:r>
      <w:r w:rsidR="00D358B0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ЗУ «Про житлово-комунальні послуги» від 9 листопада 2017 року N 2189-VIII,  постанови Кабінету Міністрів України від 01.06.2011 № 869 (в редакції постанови КМУ від 3 квітня 2019 р. №291). Відповідно до Закону України «Про житлово-комунальні послуги» </w:t>
      </w:r>
      <w:r w:rsidR="00716FC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 розрахунк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</w:t>
      </w:r>
      <w:r w:rsidR="00716FC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повної планової собівартості теплової енергії включено тариф на виробництво теплової енергії в розмірі </w:t>
      </w:r>
      <w:r w:rsidR="00713FD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757,36</w:t>
      </w:r>
      <w:r w:rsidR="00716FC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грн. за 1 Гкал (без ПДВ)</w:t>
      </w:r>
      <w:r w:rsidR="00716FC3" w:rsidRPr="005D7C2E">
        <w:rPr>
          <w:rFonts w:ascii="Times New Roman" w:hAnsi="Times New Roman" w:cs="Times New Roman"/>
          <w:lang w:val="uk-UA"/>
        </w:rPr>
        <w:t xml:space="preserve"> </w:t>
      </w:r>
      <w:r w:rsidR="00716FC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згідно з</w:t>
      </w:r>
      <w:r w:rsidR="00716FC3" w:rsidRPr="005D7C2E">
        <w:rPr>
          <w:rFonts w:ascii="Times New Roman" w:hAnsi="Times New Roman" w:cs="Times New Roman"/>
          <w:lang w:val="uk-UA"/>
        </w:rPr>
        <w:t xml:space="preserve"> </w:t>
      </w:r>
      <w:r w:rsidR="00716FC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постановою НКРЕКП від 27.11.2018 № 1555,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а в розрахунку планових витрат по транспортуванню теплової енергії на 2020 рік включені</w:t>
      </w:r>
      <w:r w:rsidR="00F52083" w:rsidRPr="005D7C2E">
        <w:rPr>
          <w:rFonts w:ascii="Times New Roman" w:hAnsi="Times New Roman" w:cs="Times New Roman"/>
          <w:lang w:val="uk-UA"/>
        </w:rPr>
        <w:t xml:space="preserve"> 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витрати на теплову енергію для компенсації втрат </w:t>
      </w:r>
      <w:r w:rsidR="00F52083" w:rsidRPr="005D7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власної теплової енергії ліцензіата 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у теплових мережах</w:t>
      </w:r>
      <w:r w:rsidR="00F52083" w:rsidRPr="005D7C2E">
        <w:rPr>
          <w:rFonts w:ascii="Times New Roman" w:hAnsi="Times New Roman" w:cs="Times New Roman"/>
          <w:lang w:val="uk-UA"/>
        </w:rPr>
        <w:t xml:space="preserve"> 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, які становлять – </w:t>
      </w:r>
      <w:r w:rsidR="00D33186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5108,33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Гкал/рік </w:t>
      </w:r>
      <w:r w:rsidR="00F52083" w:rsidRPr="006671D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або </w:t>
      </w:r>
      <w:r w:rsidR="006671D8" w:rsidRPr="006671D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85,79 грн. за 1 Гкал</w:t>
      </w:r>
      <w:r w:rsidR="006671D8" w:rsidRPr="006671D8">
        <w:rPr>
          <w:rFonts w:ascii="Times New Roman" w:hAnsi="Times New Roman" w:cs="Times New Roman"/>
          <w:sz w:val="24"/>
          <w:szCs w:val="26"/>
          <w:lang w:val="uk-UA" w:eastAsia="ru-RU"/>
        </w:rPr>
        <w:t xml:space="preserve"> (без ПДВ)</w:t>
      </w:r>
      <w:r w:rsidR="00F52083" w:rsidRPr="006671D8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,</w:t>
      </w:r>
      <w:r w:rsidR="00F52083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які раніше находили відображення у тарифі на виробництво теплової енергії. </w:t>
      </w:r>
    </w:p>
    <w:p w:rsidR="004D5598" w:rsidRPr="005D7C2E" w:rsidRDefault="002C7261" w:rsidP="00DE1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Враховуючи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вищенаведене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та вимоги наказу </w:t>
      </w:r>
      <w:r w:rsidR="004D5598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Міністерства регіонального розвитку, будівництва та житлово-комунального господарства України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від 12.09.2018 №239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ВП «</w:t>
      </w:r>
      <w:r w:rsidR="00713FD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КРИВОРІЗЬКА </w:t>
      </w:r>
      <w:r w:rsidR="003A276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ТЕС»  АТ «ДТЕК ДНІПРОЕНЕРГО»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нада</w:t>
      </w:r>
      <w:r w:rsidR="004D5598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ла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4D5598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до </w:t>
      </w:r>
      <w:r w:rsidR="00D33186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Зеленодольської</w:t>
      </w:r>
      <w:r w:rsidR="004D5598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міської ради 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заяву про встановлення тарифів </w:t>
      </w:r>
      <w:r w:rsidR="00C02E5D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на опалювальний період 2020-2021 року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на теплову енергію, її  </w:t>
      </w:r>
      <w:r w:rsid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транспортування,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постачання та тарифів на послуги з постачання теплової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lastRenderedPageBreak/>
        <w:t>енергії та постачання гарячої води, які здійснює АТ «ДТЕК ДНІПРОЕНЕРГО» ВП «</w:t>
      </w:r>
      <w:r w:rsidR="00D33186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КРИВОРІЗЬКА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ТЕС»</w:t>
      </w:r>
      <w:r w:rsidR="004D5598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.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</w:p>
    <w:p w:rsidR="00EC287C" w:rsidRPr="005D7C2E" w:rsidRDefault="004D5598" w:rsidP="00953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</w:t>
      </w:r>
      <w:r w:rsidR="00A30A25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Таким чином плановані 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тарифи</w:t>
      </w:r>
      <w:r w:rsidR="00EC287C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на 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опалювальний період 2020-2021</w:t>
      </w:r>
      <w:r w:rsidR="00513B2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C287C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р</w:t>
      </w:r>
      <w:r w:rsidR="00F6741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оку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АКЦІОНЕРНОГО ТОВАРИСТВА «ДТЕК ДНІПРОЕНЕРГО»</w:t>
      </w:r>
      <w:r w:rsidR="00EC287C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ВП «</w:t>
      </w:r>
      <w:r w:rsidR="00713FD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КРИВОРІЗЬК</w:t>
      </w:r>
      <w:r w:rsidR="00EC287C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А ТЕС»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на теплову енергію, ії </w:t>
      </w:r>
      <w:r w:rsid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транспортування, 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постачання для потреб населення, бюджетних установ, інших споживачів </w:t>
      </w:r>
      <w:r w:rsidR="00EC287C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складають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:</w:t>
      </w:r>
    </w:p>
    <w:p w:rsidR="009712FA" w:rsidRPr="005D7C2E" w:rsidRDefault="00953650" w:rsidP="00953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тариф на теплову енергію – </w:t>
      </w:r>
      <w:r w:rsidR="00100E1B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970,69</w:t>
      </w:r>
      <w:r w:rsidR="003B7BD4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(без ПДВ),  </w:t>
      </w:r>
      <w:r w:rsidR="00100E1B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1164,83</w:t>
      </w:r>
      <w:r w:rsidR="009712FA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грн/Гкал (з ПДВ) за такими складовими:</w:t>
      </w:r>
    </w:p>
    <w:p w:rsidR="009712FA" w:rsidRPr="005D7C2E" w:rsidRDefault="009712FA" w:rsidP="00DE199C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тариф на виробництво теплової енергії – </w:t>
      </w:r>
      <w:r w:rsidR="00100E1B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757,36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(без ПДВ),  </w:t>
      </w:r>
      <w:r w:rsidR="003D1DC2" w:rsidRPr="005D7C2E">
        <w:rPr>
          <w:rFonts w:ascii="Times New Roman" w:eastAsia="Times New Roman" w:hAnsi="Times New Roman" w:cs="Times New Roman"/>
          <w:lang w:val="uk-UA" w:eastAsia="ru-RU"/>
        </w:rPr>
        <w:t>908,83</w:t>
      </w:r>
      <w:r w:rsidR="003D1D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грн/Гкал (з ПДВ);</w:t>
      </w:r>
    </w:p>
    <w:p w:rsidR="009712FA" w:rsidRPr="005D7C2E" w:rsidRDefault="009712FA" w:rsidP="00DE199C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тариф на транспортування теплової енергії – </w:t>
      </w:r>
      <w:r w:rsidR="00C279A1" w:rsidRPr="00A5611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196,6</w:t>
      </w:r>
      <w:r w:rsidR="00037AD4" w:rsidRPr="00A56116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8</w:t>
      </w:r>
      <w:bookmarkStart w:id="0" w:name="_GoBack"/>
      <w:bookmarkEnd w:id="0"/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(без ПДВ),                          </w:t>
      </w:r>
      <w:r w:rsidR="003D1DC2" w:rsidRPr="003D1DC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236,02 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грн/Гкал (з ПДВ);</w:t>
      </w:r>
    </w:p>
    <w:p w:rsidR="009712FA" w:rsidRPr="005D7C2E" w:rsidRDefault="009712FA" w:rsidP="00DE199C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тариф на постачання теплової енергії – </w:t>
      </w:r>
      <w:r w:rsidR="00C279A1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16,65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(без ПДВ),</w:t>
      </w:r>
      <w:r w:rsidR="003B7BD4" w:rsidRPr="003D1DC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3D1DC2" w:rsidRPr="003D1DC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19,98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</w:t>
      </w:r>
      <w:r w:rsidR="00013FB5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(з ПДВ).</w:t>
      </w:r>
    </w:p>
    <w:p w:rsidR="00D358B0" w:rsidRPr="005D7C2E" w:rsidRDefault="00D358B0" w:rsidP="00D358B0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</w:pPr>
      <w:r w:rsidRPr="005D7C2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  <w:t xml:space="preserve"> Тариф</w:t>
      </w:r>
      <w:r w:rsidR="00335AF7" w:rsidRPr="005D7C2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  <w:t>и</w:t>
      </w:r>
      <w:r w:rsidRPr="005D7C2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  <w:t xml:space="preserve"> на послуги з постачання теплової енергії та постачання гарячої води для потреб всіх груп споживачів (населення, бюджетні установи, інші споживачі) складають:</w:t>
      </w:r>
    </w:p>
    <w:p w:rsidR="00D358B0" w:rsidRPr="005D7C2E" w:rsidRDefault="00D358B0" w:rsidP="00DE199C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послуга з постачання теплової енергії – </w:t>
      </w:r>
      <w:r w:rsidR="003D1DC2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970,69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грн/Гкал (без ПДВ), </w:t>
      </w:r>
      <w:r w:rsidR="00E502A1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             </w:t>
      </w:r>
      <w:r w:rsidR="003D1DC2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1164,83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грн/Гкал (з ПДВ);</w:t>
      </w:r>
    </w:p>
    <w:p w:rsidR="00D358B0" w:rsidRPr="005D7C2E" w:rsidRDefault="00D358B0" w:rsidP="00DE199C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послуга с постачання гарячої води – </w:t>
      </w:r>
      <w:r w:rsidR="003D1DC2" w:rsidRPr="005D7C2E">
        <w:rPr>
          <w:rFonts w:ascii="Times New Roman" w:eastAsia="Times New Roman" w:hAnsi="Times New Roman" w:cs="Times New Roman"/>
          <w:lang w:val="uk-UA" w:eastAsia="ru-RU"/>
        </w:rPr>
        <w:t>47,85</w:t>
      </w:r>
      <w:r w:rsidR="003D1D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грн/м3 (без ПДВ),</w:t>
      </w:r>
      <w:r w:rsidR="00335AF7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="003D1DC2" w:rsidRPr="005D7C2E">
        <w:rPr>
          <w:rFonts w:ascii="Times New Roman" w:eastAsia="Times New Roman" w:hAnsi="Times New Roman" w:cs="Times New Roman"/>
          <w:lang w:val="uk-UA" w:eastAsia="ru-RU"/>
        </w:rPr>
        <w:t>57,42</w:t>
      </w:r>
      <w:r w:rsidR="003D1DC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грн/м3 (з ПДВ);</w:t>
      </w:r>
      <w:r w:rsidR="002C7261" w:rsidRPr="005D7C2E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</w:p>
    <w:p w:rsidR="003D03AA" w:rsidRPr="005D7C2E" w:rsidRDefault="00A30A25" w:rsidP="009712FA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</w:pPr>
      <w:r w:rsidRPr="005D7C2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lang w:val="uk-UA"/>
        </w:rPr>
        <w:t xml:space="preserve">Нижче наведена структура запропонованих економічно обґрунтованих тарифів на </w:t>
      </w:r>
      <w:r w:rsidRPr="005D7C2E">
        <w:rPr>
          <w:rFonts w:ascii="Times New Roman" w:hAnsi="Times New Roman" w:cs="Times New Roman"/>
          <w:b/>
          <w:color w:val="111111"/>
          <w:sz w:val="24"/>
          <w:szCs w:val="24"/>
          <w:lang w:val="uk-UA"/>
        </w:rPr>
        <w:t xml:space="preserve"> </w:t>
      </w:r>
      <w:r w:rsidR="00E20DCE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теплову енергію, ї</w:t>
      </w:r>
      <w:r w:rsidR="00B8701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ї транспортування</w:t>
      </w:r>
      <w:r w:rsidR="003D1DC2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, </w:t>
      </w:r>
      <w:r w:rsidR="00B8701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постачання для </w:t>
      </w:r>
      <w:r w:rsidR="0073668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всіх</w:t>
      </w:r>
      <w:r w:rsidR="00B8701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</w:t>
      </w:r>
      <w:r w:rsidR="00D358B0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категорій</w:t>
      </w:r>
      <w:r w:rsidR="00B8701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споживачів</w:t>
      </w:r>
      <w:r w:rsidR="00736687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 xml:space="preserve"> (населення, бюджетні установи, інші споживачі)</w:t>
      </w:r>
      <w:r w:rsidR="00D358B0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,</w:t>
      </w:r>
      <w:r w:rsidR="00D358B0" w:rsidRPr="005D7C2E">
        <w:rPr>
          <w:rFonts w:ascii="Times New Roman" w:hAnsi="Times New Roman" w:cs="Times New Roman"/>
          <w:lang w:val="uk-UA"/>
        </w:rPr>
        <w:t xml:space="preserve"> </w:t>
      </w:r>
      <w:r w:rsidR="00D358B0" w:rsidRPr="005D7C2E">
        <w:rPr>
          <w:rFonts w:ascii="Times New Roman" w:hAnsi="Times New Roman" w:cs="Times New Roman"/>
          <w:color w:val="111111"/>
          <w:sz w:val="24"/>
          <w:szCs w:val="24"/>
          <w:lang w:val="uk-UA"/>
        </w:rPr>
        <w:t>на  послугу з  постачання теплової енергії та постачання гарячої води.</w:t>
      </w:r>
      <w:r w:rsidR="008E7B4C" w:rsidRPr="005D7C2E">
        <w:rPr>
          <w:rStyle w:val="a3"/>
          <w:rFonts w:ascii="Times New Roman" w:hAnsi="Times New Roman" w:cs="Times New Roman"/>
          <w:lang w:val="uk-UA"/>
        </w:rPr>
        <w:t xml:space="preserve">                         </w:t>
      </w:r>
      <w:r w:rsidR="00E8063E" w:rsidRPr="005D7C2E">
        <w:rPr>
          <w:rStyle w:val="a3"/>
          <w:rFonts w:ascii="Times New Roman" w:hAnsi="Times New Roman" w:cs="Times New Roman"/>
          <w:lang w:val="uk-UA"/>
        </w:rPr>
        <w:t xml:space="preserve">       </w:t>
      </w:r>
    </w:p>
    <w:p w:rsidR="008E7B4C" w:rsidRPr="005D7C2E" w:rsidRDefault="003D03AA" w:rsidP="00B654F9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</w:rPr>
      </w:pPr>
      <w:r w:rsidRPr="005D7C2E">
        <w:rPr>
          <w:rStyle w:val="a3"/>
          <w:rFonts w:ascii="Times New Roman" w:hAnsi="Times New Roman" w:cs="Times New Roman"/>
          <w:lang w:val="uk-UA"/>
        </w:rPr>
        <w:t xml:space="preserve">                                     </w:t>
      </w:r>
      <w:r w:rsidR="008E7B4C" w:rsidRPr="005D7C2E">
        <w:rPr>
          <w:rStyle w:val="a3"/>
          <w:rFonts w:ascii="Times New Roman" w:hAnsi="Times New Roman" w:cs="Times New Roman"/>
          <w:lang w:val="uk-UA"/>
        </w:rPr>
        <w:t xml:space="preserve">     </w:t>
      </w:r>
      <w:r w:rsidR="008E7B4C" w:rsidRPr="005D7C2E">
        <w:rPr>
          <w:rStyle w:val="a3"/>
          <w:rFonts w:ascii="Times New Roman" w:hAnsi="Times New Roman" w:cs="Times New Roman"/>
        </w:rPr>
        <w:t>Структура тарифу на теплову енергію</w:t>
      </w:r>
    </w:p>
    <w:tbl>
      <w:tblPr>
        <w:tblW w:w="100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83"/>
        <w:gridCol w:w="1191"/>
        <w:gridCol w:w="1166"/>
        <w:gridCol w:w="1075"/>
        <w:gridCol w:w="1166"/>
        <w:gridCol w:w="1075"/>
        <w:gridCol w:w="1166"/>
      </w:tblGrid>
      <w:tr w:rsidR="0084593D" w:rsidRPr="005D7C2E" w:rsidTr="003C463C">
        <w:trPr>
          <w:trHeight w:val="545"/>
          <w:jc w:val="right"/>
        </w:trPr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з/п 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 потреб бюджетних установ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споживачів</w:t>
            </w:r>
          </w:p>
        </w:tc>
      </w:tr>
      <w:tr w:rsidR="0084593D" w:rsidRPr="005D7C2E" w:rsidTr="003C463C">
        <w:trPr>
          <w:trHeight w:val="241"/>
          <w:jc w:val="right"/>
        </w:trPr>
        <w:tc>
          <w:tcPr>
            <w:tcW w:w="670" w:type="dxa"/>
            <w:vMerge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vMerge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AC79C9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</w:tr>
      <w:tr w:rsidR="0084593D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vAlign w:val="center"/>
            <w:hideMark/>
          </w:tcPr>
          <w:p w:rsidR="0084593D" w:rsidRPr="00593D46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3" w:type="dxa"/>
            <w:shd w:val="clear" w:color="auto" w:fill="auto"/>
            <w:vAlign w:val="bottom"/>
            <w:hideMark/>
          </w:tcPr>
          <w:p w:rsidR="0084593D" w:rsidRPr="00593D46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4593D" w:rsidRPr="00593D46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593D46" w:rsidRDefault="0084593D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593D" w:rsidRPr="00593D46" w:rsidRDefault="00593D46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593D46" w:rsidRDefault="00593D46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84593D" w:rsidRPr="00593D46" w:rsidRDefault="00593D46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84593D" w:rsidRPr="00593D46" w:rsidRDefault="00593D46" w:rsidP="0084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AC79C9" w:rsidRPr="005D7C2E" w:rsidTr="005E65AF">
        <w:trPr>
          <w:trHeight w:val="207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Виробнича собівартість,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34 814,25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4D1557" w:rsidRDefault="00AC79C9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</w:t>
            </w:r>
            <w:r w:rsidR="00DE1F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4 995,4</w:t>
            </w:r>
            <w:r w:rsidR="006A1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4D1557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4 226,60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4D1557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</w:tr>
      <w:tr w:rsidR="004725F5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4725F5" w:rsidRPr="00AC79C9" w:rsidRDefault="004725F5" w:rsidP="0047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3" w:type="dxa"/>
            <w:shd w:val="clear" w:color="auto" w:fill="auto"/>
            <w:hideMark/>
          </w:tcPr>
          <w:p w:rsidR="004725F5" w:rsidRPr="00AC79C9" w:rsidRDefault="004725F5" w:rsidP="0047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прямі матеріальні витрати,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725F5" w:rsidRPr="00593D46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34 220,16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725F5" w:rsidRPr="004D1557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725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868,3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725F5" w:rsidRPr="004725F5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5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4 910,20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725F5" w:rsidRPr="004D1557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725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868,3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725F5" w:rsidRPr="004725F5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5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4 153,83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725F5" w:rsidRPr="004D1557" w:rsidRDefault="004725F5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4725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868,3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</w:tr>
      <w:tr w:rsidR="00593D46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583" w:type="dxa"/>
            <w:shd w:val="clear" w:color="auto" w:fill="auto"/>
            <w:hideMark/>
          </w:tcPr>
          <w:p w:rsidR="00593D46" w:rsidRPr="00AC79C9" w:rsidRDefault="00593D46" w:rsidP="00593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593D46" w:rsidRPr="00AC79C9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AC79C9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AC79C9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593D46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CE44D2" w:rsidRDefault="00CE44D2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собівартість теплової енергії власних ТЕЦ, ТЕС, КГУ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593D46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30 237,09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757,36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4 338,67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757,36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3 703,59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757,36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CE44D2" w:rsidRDefault="00DE1FAC" w:rsidP="00C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="00CE4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AC79C9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покупну теплову енергію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593D46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F27D0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4F27D0" w:rsidRPr="00DE1FAC" w:rsidRDefault="004F27D0" w:rsidP="00C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="00CE4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583" w:type="dxa"/>
            <w:shd w:val="clear" w:color="auto" w:fill="auto"/>
            <w:hideMark/>
          </w:tcPr>
          <w:p w:rsidR="004F27D0" w:rsidRPr="00AC79C9" w:rsidRDefault="004F27D0" w:rsidP="004F2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4F27D0" w:rsidRPr="00593D46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593D46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3 979,65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4F27D0" w:rsidRDefault="006A1C77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1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449,82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27D0" w:rsidRPr="004F27D0" w:rsidRDefault="004F27D0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27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CE44D2" w:rsidRDefault="00DE1FAC" w:rsidP="00C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="00CE4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AC79C9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вода для технологічних потреб та водовідведення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593D46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AC79C9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DE1FAC" w:rsidRDefault="00AC79C9" w:rsidP="00C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="00CE4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593D46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 витрати на оплату праці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67,41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57,54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інші прямі витрати,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відрахування  на соціальні заходи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103,35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</w:tr>
      <w:tr w:rsidR="00AC79C9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</w:tr>
      <w:tr w:rsidR="00AC79C9" w:rsidRPr="005D7C2E" w:rsidTr="005E65AF">
        <w:trPr>
          <w:trHeight w:val="137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AC79C9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C79C9" w:rsidRPr="00AC79C9" w:rsidRDefault="00AC79C9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5E65AF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збут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5E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операційні витрати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Фінансові витрати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покриття втрат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C79C9" w:rsidRPr="005D7C2E" w:rsidTr="00AC79C9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B656E0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Повна собівартість</w:t>
            </w:r>
          </w:p>
        </w:tc>
        <w:tc>
          <w:tcPr>
            <w:tcW w:w="1191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34 814,25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4D1557" w:rsidRDefault="00AC79C9" w:rsidP="004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</w:tcPr>
          <w:p w:rsidR="00AC79C9" w:rsidRPr="00B656E0" w:rsidRDefault="00AC79C9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4 995,4</w:t>
            </w:r>
            <w:r w:rsidR="006A1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4D1557" w:rsidRDefault="00AC79C9" w:rsidP="004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4 226,60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4D1557" w:rsidRDefault="00AC79C9" w:rsidP="004D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884,</w:t>
            </w:r>
            <w:r w:rsidR="004D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90</w:t>
            </w:r>
          </w:p>
        </w:tc>
      </w:tr>
      <w:tr w:rsidR="00AC79C9" w:rsidRPr="005D7C2E" w:rsidTr="00AC79C9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3" w:type="dxa"/>
            <w:shd w:val="clear" w:color="auto" w:fill="auto"/>
            <w:hideMark/>
          </w:tcPr>
          <w:p w:rsidR="00AC79C9" w:rsidRPr="00B656E0" w:rsidRDefault="00AC79C9" w:rsidP="00AC7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191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3 079,02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  <w:tc>
          <w:tcPr>
            <w:tcW w:w="1075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441,80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  <w:tc>
          <w:tcPr>
            <w:tcW w:w="1075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348,02</w:t>
            </w:r>
          </w:p>
        </w:tc>
        <w:tc>
          <w:tcPr>
            <w:tcW w:w="1166" w:type="dxa"/>
            <w:shd w:val="clear" w:color="auto" w:fill="auto"/>
            <w:noWrap/>
          </w:tcPr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C79C9" w:rsidRPr="00B656E0" w:rsidRDefault="00AC79C9" w:rsidP="00AC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Розрахунковий прибуток, у т. ч.: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80833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податок на прибуток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80833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резервний фонд (капітал) та дивіденди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80833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розвиток виробництва (виробничі інвестиції)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833" w:rsidRPr="005D7C2E" w:rsidTr="003C463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980833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інше використання прибутку (прибуток у тарифах ТЕЦ, ТЕС, КГУ)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B6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656E0" w:rsidRPr="005D7C2E" w:rsidTr="00DE1FAC">
        <w:trPr>
          <w:trHeight w:val="119"/>
          <w:jc w:val="right"/>
        </w:trPr>
        <w:tc>
          <w:tcPr>
            <w:tcW w:w="670" w:type="dxa"/>
            <w:shd w:val="clear" w:color="auto" w:fill="auto"/>
            <w:hideMark/>
          </w:tcPr>
          <w:p w:rsidR="00B656E0" w:rsidRPr="00B656E0" w:rsidRDefault="00B656E0" w:rsidP="00B6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83" w:type="dxa"/>
            <w:shd w:val="clear" w:color="auto" w:fill="auto"/>
            <w:hideMark/>
          </w:tcPr>
          <w:p w:rsidR="00B656E0" w:rsidRPr="00B656E0" w:rsidRDefault="00B656E0" w:rsidP="00B6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  теплової енергії за відповідним тарифом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37 893,27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5 437,25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4 574,62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B656E0" w:rsidRPr="00B656E0" w:rsidRDefault="00B656E0" w:rsidP="00D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</w:tr>
      <w:tr w:rsidR="00980833" w:rsidRPr="005D7C2E" w:rsidTr="003C463C">
        <w:trPr>
          <w:trHeight w:val="205"/>
          <w:jc w:val="right"/>
        </w:trPr>
        <w:tc>
          <w:tcPr>
            <w:tcW w:w="670" w:type="dxa"/>
            <w:shd w:val="clear" w:color="auto" w:fill="auto"/>
            <w:hideMark/>
          </w:tcPr>
          <w:p w:rsidR="00980833" w:rsidRPr="00B656E0" w:rsidRDefault="00980833" w:rsidP="00B6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656E0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3" w:type="dxa"/>
            <w:shd w:val="clear" w:color="auto" w:fill="auto"/>
            <w:hideMark/>
          </w:tcPr>
          <w:p w:rsidR="00980833" w:rsidRPr="00B656E0" w:rsidRDefault="00980833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теплову енергію, грн/Гкал (без ПДВ)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80833" w:rsidRPr="00B656E0" w:rsidRDefault="00980833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80833" w:rsidRPr="00B656E0" w:rsidRDefault="00B656E0" w:rsidP="0098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970,69</w:t>
            </w:r>
          </w:p>
        </w:tc>
      </w:tr>
      <w:tr w:rsidR="00653425" w:rsidRPr="005D7C2E" w:rsidTr="003C463C">
        <w:trPr>
          <w:trHeight w:val="205"/>
          <w:jc w:val="right"/>
        </w:trPr>
        <w:tc>
          <w:tcPr>
            <w:tcW w:w="670" w:type="dxa"/>
            <w:shd w:val="clear" w:color="auto" w:fill="auto"/>
          </w:tcPr>
          <w:p w:rsidR="00653425" w:rsidRPr="00B656E0" w:rsidRDefault="00653425" w:rsidP="00B6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  <w:r w:rsidR="00B656E0"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53425" w:rsidRPr="00B656E0" w:rsidRDefault="00653425" w:rsidP="00B7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теплову енергію, грн/Гкал (з ПДВ)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53425" w:rsidRPr="00B656E0" w:rsidRDefault="00653425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53425" w:rsidRPr="00B656E0" w:rsidRDefault="00B656E0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1 164,83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425" w:rsidRPr="00B656E0" w:rsidRDefault="00653425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53425" w:rsidRPr="00B656E0" w:rsidRDefault="00B656E0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1 164,83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3425" w:rsidRPr="00B656E0" w:rsidRDefault="00653425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53425" w:rsidRPr="00B656E0" w:rsidRDefault="00B656E0" w:rsidP="006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56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1 164,83</w:t>
            </w:r>
          </w:p>
        </w:tc>
      </w:tr>
    </w:tbl>
    <w:p w:rsidR="00F847DD" w:rsidRPr="005D7C2E" w:rsidRDefault="00F847DD" w:rsidP="009D04F1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</w:rPr>
      </w:pPr>
    </w:p>
    <w:p w:rsidR="004A58AC" w:rsidRPr="005D7C2E" w:rsidRDefault="004A58AC" w:rsidP="009D04F1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</w:rPr>
      </w:pPr>
      <w:r w:rsidRPr="005D7C2E">
        <w:rPr>
          <w:rStyle w:val="a3"/>
          <w:rFonts w:ascii="Times New Roman" w:hAnsi="Times New Roman" w:cs="Times New Roman"/>
        </w:rPr>
        <w:t xml:space="preserve">Структура тарифу на </w:t>
      </w:r>
      <w:r w:rsidRPr="005D7C2E">
        <w:rPr>
          <w:rStyle w:val="a3"/>
          <w:rFonts w:ascii="Times New Roman" w:hAnsi="Times New Roman" w:cs="Times New Roman"/>
          <w:lang w:val="uk-UA"/>
        </w:rPr>
        <w:t xml:space="preserve">транспортування </w:t>
      </w:r>
      <w:r w:rsidRPr="005D7C2E">
        <w:rPr>
          <w:rStyle w:val="a3"/>
          <w:rFonts w:ascii="Times New Roman" w:hAnsi="Times New Roman" w:cs="Times New Roman"/>
        </w:rPr>
        <w:t>теплової енергії</w:t>
      </w:r>
    </w:p>
    <w:tbl>
      <w:tblPr>
        <w:tblW w:w="101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07"/>
        <w:gridCol w:w="1001"/>
        <w:gridCol w:w="1288"/>
        <w:gridCol w:w="1144"/>
        <w:gridCol w:w="1288"/>
        <w:gridCol w:w="1144"/>
        <w:gridCol w:w="1110"/>
      </w:tblGrid>
      <w:tr w:rsidR="004B704C" w:rsidRPr="005D7C2E" w:rsidTr="003C463C">
        <w:trPr>
          <w:trHeight w:val="399"/>
          <w:jc w:val="right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з/п 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2289" w:type="dxa"/>
            <w:gridSpan w:val="2"/>
            <w:vMerge w:val="restart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</w:t>
            </w:r>
          </w:p>
        </w:tc>
        <w:tc>
          <w:tcPr>
            <w:tcW w:w="2432" w:type="dxa"/>
            <w:gridSpan w:val="2"/>
            <w:vMerge w:val="restart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 потреб бюджетних установ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споживачів</w:t>
            </w:r>
          </w:p>
        </w:tc>
      </w:tr>
      <w:tr w:rsidR="004B704C" w:rsidRPr="005D7C2E" w:rsidTr="003C463C">
        <w:trPr>
          <w:trHeight w:val="537"/>
          <w:jc w:val="right"/>
        </w:trPr>
        <w:tc>
          <w:tcPr>
            <w:tcW w:w="541" w:type="dxa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gridSpan w:val="2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gridSpan w:val="2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704C" w:rsidRPr="005D7C2E" w:rsidTr="003C463C">
        <w:trPr>
          <w:trHeight w:val="526"/>
          <w:jc w:val="right"/>
        </w:trPr>
        <w:tc>
          <w:tcPr>
            <w:tcW w:w="541" w:type="dxa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B704C" w:rsidRPr="005D7C2E" w:rsidRDefault="004B704C" w:rsidP="004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</w:tr>
      <w:tr w:rsidR="00593D46" w:rsidRPr="005D7C2E" w:rsidTr="00B04D0C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3 979,65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571,03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449,82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 матеріальні витрати,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3 979,65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571,03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449,82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</w:tr>
      <w:tr w:rsidR="005025C3" w:rsidRPr="005025C3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електроенергія</w:t>
            </w:r>
          </w:p>
        </w:tc>
        <w:tc>
          <w:tcPr>
            <w:tcW w:w="1001" w:type="dxa"/>
            <w:shd w:val="clear" w:color="auto" w:fill="auto"/>
            <w:hideMark/>
          </w:tcPr>
          <w:p w:rsidR="005025C3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P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P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P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P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5025C3" w:rsidRP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41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3 979,65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571,03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A55234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449,82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A55234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</w:tr>
      <w:tr w:rsidR="005025C3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вода для технологічних потреб  та водовідведення</w:t>
            </w:r>
          </w:p>
        </w:tc>
        <w:tc>
          <w:tcPr>
            <w:tcW w:w="1001" w:type="dxa"/>
            <w:shd w:val="clear" w:color="auto" w:fill="auto"/>
            <w:hideMark/>
          </w:tcPr>
          <w:p w:rsidR="005025C3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  <w:p w:rsidR="005025C3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187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187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187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187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187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025C3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5025C3" w:rsidRPr="005D7C2E" w:rsidRDefault="005025C3" w:rsidP="0050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матеріали, запасні  частини та інші матеріальні ресурси</w:t>
            </w:r>
          </w:p>
        </w:tc>
        <w:tc>
          <w:tcPr>
            <w:tcW w:w="1001" w:type="dxa"/>
            <w:shd w:val="clear" w:color="auto" w:fill="auto"/>
            <w:hideMark/>
          </w:tcPr>
          <w:p w:rsidR="005025C3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987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987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987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987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5025C3" w:rsidRDefault="005025C3" w:rsidP="005025C3">
            <w:pPr>
              <w:jc w:val="center"/>
            </w:pPr>
            <w:r w:rsidRPr="009871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 витрати на оплату праці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витрати,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відрахування  на соціальні заходи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амортизаційні відрахування 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Загальновиробничі витрати,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Адміністративні витрати,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збут, зокрема: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Повна собівартість*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3 979,65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571,03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449,82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110,89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покриття втрат теплової енергії в теплових мережах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3 079,02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441,80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348,02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85,79</w:t>
            </w:r>
          </w:p>
        </w:tc>
      </w:tr>
      <w:tr w:rsidR="00CD376F" w:rsidRPr="005D7C2E" w:rsidTr="00AC79C9">
        <w:trPr>
          <w:trHeight w:val="264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Розрахунковий прибуток*, усього,  у тому числі: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дивіденди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резервний фонд (капітал)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інше використання  прибутку</w:t>
            </w:r>
          </w:p>
        </w:tc>
        <w:tc>
          <w:tcPr>
            <w:tcW w:w="1001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4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shd w:val="clear" w:color="auto" w:fill="auto"/>
            <w:hideMark/>
          </w:tcPr>
          <w:p w:rsidR="00CD376F" w:rsidRPr="00CD376F" w:rsidRDefault="005025C3" w:rsidP="0050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25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Вартість транспортування  теплової енергії за відповідними тарифами</w:t>
            </w:r>
          </w:p>
        </w:tc>
        <w:tc>
          <w:tcPr>
            <w:tcW w:w="1001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7 058,67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1 012,84</w:t>
            </w:r>
          </w:p>
        </w:tc>
        <w:tc>
          <w:tcPr>
            <w:tcW w:w="1288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  <w:tc>
          <w:tcPr>
            <w:tcW w:w="1144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797,84</w:t>
            </w:r>
          </w:p>
        </w:tc>
        <w:tc>
          <w:tcPr>
            <w:tcW w:w="1110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noWrap/>
            <w:vAlign w:val="bottom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транспортування теплової енергії, грн/Гкал (без ПДВ)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  <w:tc>
          <w:tcPr>
            <w:tcW w:w="1144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196,68</w:t>
            </w: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noWrap/>
            <w:vAlign w:val="bottom"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Корисний відпуск теплової енергії з мереж ліцензіата, Гкал,  у т. ч.: </w:t>
            </w:r>
          </w:p>
        </w:tc>
        <w:tc>
          <w:tcPr>
            <w:tcW w:w="1001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35 888,39</w:t>
            </w:r>
          </w:p>
        </w:tc>
        <w:tc>
          <w:tcPr>
            <w:tcW w:w="1288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5 149,57</w:t>
            </w:r>
          </w:p>
        </w:tc>
        <w:tc>
          <w:tcPr>
            <w:tcW w:w="1288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4 056,46</w:t>
            </w:r>
          </w:p>
        </w:tc>
        <w:tc>
          <w:tcPr>
            <w:tcW w:w="1110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76F" w:rsidRPr="005D7C2E" w:rsidTr="00AC79C9">
        <w:trPr>
          <w:trHeight w:val="220"/>
          <w:jc w:val="right"/>
        </w:trPr>
        <w:tc>
          <w:tcPr>
            <w:tcW w:w="541" w:type="dxa"/>
            <w:shd w:val="clear" w:color="auto" w:fill="auto"/>
            <w:noWrap/>
            <w:vAlign w:val="center"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транспортування теплової енергії, грн/Гкал (з ПДВ)</w:t>
            </w:r>
          </w:p>
        </w:tc>
        <w:tc>
          <w:tcPr>
            <w:tcW w:w="1001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236,02</w:t>
            </w:r>
          </w:p>
        </w:tc>
        <w:tc>
          <w:tcPr>
            <w:tcW w:w="1144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236,02</w:t>
            </w:r>
          </w:p>
        </w:tc>
        <w:tc>
          <w:tcPr>
            <w:tcW w:w="1144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shd w:val="clear" w:color="auto" w:fill="auto"/>
            <w:noWrap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236,02</w:t>
            </w:r>
          </w:p>
        </w:tc>
      </w:tr>
    </w:tbl>
    <w:p w:rsidR="009F619A" w:rsidRPr="005D7C2E" w:rsidRDefault="009F619A" w:rsidP="004A58AC">
      <w:pPr>
        <w:shd w:val="clear" w:color="auto" w:fill="FFFFFF"/>
        <w:spacing w:after="150" w:line="240" w:lineRule="auto"/>
        <w:jc w:val="both"/>
        <w:rPr>
          <w:rStyle w:val="a3"/>
          <w:rFonts w:ascii="Times New Roman" w:hAnsi="Times New Roman" w:cs="Times New Roman"/>
          <w:lang w:val="uk-UA"/>
        </w:rPr>
      </w:pPr>
    </w:p>
    <w:p w:rsidR="004A58AC" w:rsidRPr="005D7C2E" w:rsidRDefault="004A58AC" w:rsidP="00C41F99">
      <w:pPr>
        <w:shd w:val="clear" w:color="auto" w:fill="FFFFFF"/>
        <w:spacing w:after="150" w:line="240" w:lineRule="auto"/>
        <w:jc w:val="center"/>
        <w:rPr>
          <w:rStyle w:val="a3"/>
          <w:rFonts w:ascii="Times New Roman" w:hAnsi="Times New Roman" w:cs="Times New Roman"/>
        </w:rPr>
      </w:pPr>
      <w:r w:rsidRPr="005D7C2E">
        <w:rPr>
          <w:rStyle w:val="a3"/>
          <w:rFonts w:ascii="Times New Roman" w:hAnsi="Times New Roman" w:cs="Times New Roman"/>
        </w:rPr>
        <w:t xml:space="preserve">Структура тарифу на </w:t>
      </w:r>
      <w:r w:rsidRPr="005D7C2E">
        <w:rPr>
          <w:rStyle w:val="a3"/>
          <w:rFonts w:ascii="Times New Roman" w:hAnsi="Times New Roman" w:cs="Times New Roman"/>
          <w:lang w:val="uk-UA"/>
        </w:rPr>
        <w:t xml:space="preserve">постачання </w:t>
      </w:r>
      <w:r w:rsidRPr="005D7C2E">
        <w:rPr>
          <w:rStyle w:val="a3"/>
          <w:rFonts w:ascii="Times New Roman" w:hAnsi="Times New Roman" w:cs="Times New Roman"/>
        </w:rPr>
        <w:t>теплової енергії</w:t>
      </w:r>
    </w:p>
    <w:tbl>
      <w:tblPr>
        <w:tblW w:w="102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72"/>
        <w:gridCol w:w="1052"/>
        <w:gridCol w:w="1155"/>
        <w:gridCol w:w="1299"/>
        <w:gridCol w:w="1300"/>
        <w:gridCol w:w="1155"/>
        <w:gridCol w:w="1120"/>
      </w:tblGrid>
      <w:tr w:rsidR="0030379F" w:rsidRPr="005D7C2E" w:rsidTr="00593D46">
        <w:trPr>
          <w:trHeight w:val="761"/>
          <w:jc w:val="right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з/п 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населення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 потреб бюджетних установ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</w:t>
            </w:r>
          </w:p>
        </w:tc>
      </w:tr>
      <w:tr w:rsidR="000E7F29" w:rsidRPr="005D7C2E" w:rsidTr="00593D46">
        <w:trPr>
          <w:trHeight w:val="559"/>
          <w:jc w:val="right"/>
        </w:trPr>
        <w:tc>
          <w:tcPr>
            <w:tcW w:w="662" w:type="dxa"/>
            <w:vMerge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тис. грн на рік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30379F" w:rsidRPr="005D7C2E" w:rsidRDefault="0030379F" w:rsidP="0030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грн/Гкал</w:t>
            </w:r>
          </w:p>
        </w:tc>
      </w:tr>
      <w:tr w:rsidR="00593D46" w:rsidRPr="005D7C2E" w:rsidTr="0073561B">
        <w:trPr>
          <w:trHeight w:val="152"/>
          <w:jc w:val="right"/>
        </w:trPr>
        <w:tc>
          <w:tcPr>
            <w:tcW w:w="662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3D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593D46" w:rsidRPr="00593D46" w:rsidRDefault="00593D46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93D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</w:tr>
      <w:tr w:rsidR="00CD376F" w:rsidRPr="00CD376F" w:rsidTr="00CD376F">
        <w:trPr>
          <w:trHeight w:val="235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зокрема: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597,51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 матеріальні витрати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прямі витрати на оплату праці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469,77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67,41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13,09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витрати, зокрема: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124,31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3,46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відрахування  на соціальні заходи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103,35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2,88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амортизаційні відрахування 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інші прямі витрати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13,97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Загальновиробничі витрати, зокрема: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Адміністративні витрати, зокрема: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 на збут, зокрема: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Повна собівартість*</w:t>
            </w:r>
          </w:p>
        </w:tc>
        <w:tc>
          <w:tcPr>
            <w:tcW w:w="1052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597,51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299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155" w:type="dxa"/>
            <w:shd w:val="clear" w:color="auto" w:fill="auto"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Розрахунковий прибуток, усього, у тому числі: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дивіденди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резервний фонд (капітал)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 розвиток виробництва (виробничі інвестиції)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інше використання  прибутку</w:t>
            </w:r>
          </w:p>
        </w:tc>
        <w:tc>
          <w:tcPr>
            <w:tcW w:w="105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D376F" w:rsidRPr="005D7C2E" w:rsidTr="00CD376F">
        <w:trPr>
          <w:trHeight w:val="269"/>
          <w:jc w:val="right"/>
        </w:trPr>
        <w:tc>
          <w:tcPr>
            <w:tcW w:w="66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052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597,51</w:t>
            </w:r>
          </w:p>
        </w:tc>
        <w:tc>
          <w:tcPr>
            <w:tcW w:w="1155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299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85,74</w:t>
            </w:r>
          </w:p>
        </w:tc>
        <w:tc>
          <w:tcPr>
            <w:tcW w:w="1300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155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73,19</w:t>
            </w:r>
          </w:p>
        </w:tc>
        <w:tc>
          <w:tcPr>
            <w:tcW w:w="1120" w:type="dxa"/>
            <w:shd w:val="clear" w:color="auto" w:fill="auto"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</w:tr>
      <w:tr w:rsidR="009801A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2" w:type="dxa"/>
            <w:shd w:val="clear" w:color="auto" w:fill="auto"/>
            <w:hideMark/>
          </w:tcPr>
          <w:p w:rsidR="009801AF" w:rsidRPr="005D7C2E" w:rsidRDefault="009801AF" w:rsidP="00F84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 на </w:t>
            </w:r>
            <w:r w:rsidR="00F847DD"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постачання</w:t>
            </w: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теплової енергії, грн/Гкал (без ПДВ)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:rsidR="009801A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299" w:type="dxa"/>
            <w:shd w:val="clear" w:color="auto" w:fill="auto"/>
            <w:vAlign w:val="bottom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9801A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:rsidR="009801AF" w:rsidRPr="005D7C2E" w:rsidRDefault="009801AF" w:rsidP="0098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9801A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16,65</w:t>
            </w: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noWrap/>
            <w:hideMark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2" w:type="dxa"/>
            <w:shd w:val="clear" w:color="auto" w:fill="auto"/>
            <w:hideMark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Корисний відпуск теплової енергії з мереж ліцензіата, Гкал,  у т. ч.: 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35888,39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5149,57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:rsidR="005025C3" w:rsidRDefault="005025C3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4395,79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D376F" w:rsidRPr="005D7C2E" w:rsidTr="00CD376F">
        <w:trPr>
          <w:trHeight w:val="309"/>
          <w:jc w:val="right"/>
        </w:trPr>
        <w:tc>
          <w:tcPr>
            <w:tcW w:w="662" w:type="dxa"/>
            <w:shd w:val="clear" w:color="auto" w:fill="auto"/>
            <w:noWrap/>
          </w:tcPr>
          <w:p w:rsidR="00CD376F" w:rsidRPr="005D7C2E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472" w:type="dxa"/>
            <w:shd w:val="clear" w:color="auto" w:fill="auto"/>
          </w:tcPr>
          <w:p w:rsidR="00CD376F" w:rsidRPr="005D7C2E" w:rsidRDefault="00CD376F" w:rsidP="00CD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постачання теплової енергії, грн/Гкал (без ПДВ)</w:t>
            </w:r>
          </w:p>
        </w:tc>
        <w:tc>
          <w:tcPr>
            <w:tcW w:w="1052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19,98</w:t>
            </w:r>
          </w:p>
        </w:tc>
        <w:tc>
          <w:tcPr>
            <w:tcW w:w="1299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19,98</w:t>
            </w:r>
          </w:p>
        </w:tc>
        <w:tc>
          <w:tcPr>
            <w:tcW w:w="1155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D376F" w:rsidRPr="00CD376F" w:rsidRDefault="00CD376F" w:rsidP="00CD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19,98</w:t>
            </w:r>
          </w:p>
        </w:tc>
      </w:tr>
    </w:tbl>
    <w:p w:rsidR="0030379F" w:rsidRPr="005D7C2E" w:rsidRDefault="0030379F" w:rsidP="00CD46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p w:rsidR="00B654F9" w:rsidRPr="005D7C2E" w:rsidRDefault="00B654F9" w:rsidP="00CD46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90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357"/>
        <w:gridCol w:w="1948"/>
        <w:gridCol w:w="1960"/>
      </w:tblGrid>
      <w:tr w:rsidR="00C02E5D" w:rsidRPr="005D7C2E" w:rsidTr="003C6252">
        <w:trPr>
          <w:trHeight w:val="763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з/п 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Послуга з постачання теплової енергії</w:t>
            </w:r>
          </w:p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грн/Гкал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59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Послуга з  постачання гарячої води</w:t>
            </w:r>
          </w:p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грн/м</w:t>
            </w: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000000" w:fill="FFFFFF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7" w:type="dxa"/>
            <w:shd w:val="clear" w:color="000000" w:fill="FFFFFF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8" w:type="dxa"/>
            <w:shd w:val="clear" w:color="auto" w:fill="auto"/>
            <w:vAlign w:val="bottom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02E5D" w:rsidRPr="005D7C2E" w:rsidTr="003C6252">
        <w:trPr>
          <w:trHeight w:val="662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тарифах на теплову енергію для потреб населення 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утримання абонентської служби, усього, у т. ч.: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оплату праці 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внески на соціальні заходи 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витрати абонентської служби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535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 з проведення періодичної повірки, обслуговування і ремонту квартирних засобів обліку, у тому числі їх демонтажу, транспортування та монтажу після повірки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87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придбання води на послуги з централізованого постачання гарячої води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Решта витрат, крім послуг банку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Собівартість послуг без урахування послуг банку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Розрахунковий прибуток, усього, у т. ч.: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0B5763" w:rsidP="000B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0B5763" w:rsidRPr="005D7C2E" w:rsidRDefault="000B5763" w:rsidP="000B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7.1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прибуток у тарифі на теплову енергію 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0B5763" w:rsidRPr="005D7C2E" w:rsidRDefault="000B5763" w:rsidP="000B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7.2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плановий прибуток на послугу, усього, у т. ч.: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Послуги банку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2E5D" w:rsidRPr="005D7C2E" w:rsidTr="003C6252">
        <w:trPr>
          <w:trHeight w:val="453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Повна планова собівартість послуг з урахуванням послуг банку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 послуг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02E5D" w:rsidRPr="005D7C2E" w:rsidTr="003C6252">
        <w:trPr>
          <w:trHeight w:val="379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Плановані тарифи на послуги, (без ПДВ)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970,69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C02E5D" w:rsidRPr="005D7C2E" w:rsidTr="003C6252">
        <w:trPr>
          <w:trHeight w:val="311"/>
        </w:trPr>
        <w:tc>
          <w:tcPr>
            <w:tcW w:w="734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C02E5D" w:rsidRPr="005D7C2E" w:rsidRDefault="00C02E5D" w:rsidP="00C0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7C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Плановані тарифи на послуги (з ПДВ)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0B5763" w:rsidRPr="005D7C2E" w:rsidRDefault="000B5763" w:rsidP="000B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1164,83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02E5D" w:rsidRPr="005D7C2E" w:rsidRDefault="000B5763" w:rsidP="00C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57,42</w:t>
            </w:r>
          </w:p>
        </w:tc>
      </w:tr>
    </w:tbl>
    <w:p w:rsidR="002C7261" w:rsidRPr="005D7C2E" w:rsidRDefault="00C02E5D" w:rsidP="00004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val="uk-UA" w:eastAsia="ru-RU"/>
        </w:rPr>
      </w:pPr>
      <w:r w:rsidRPr="005D7C2E">
        <w:rPr>
          <w:rFonts w:ascii="Times New Roman" w:eastAsia="Times New Roman" w:hAnsi="Times New Roman" w:cs="Times New Roman"/>
          <w:b/>
          <w:bCs/>
          <w:color w:val="111111"/>
          <w:lang w:val="uk-UA" w:eastAsia="ru-RU"/>
        </w:rPr>
        <w:t xml:space="preserve"> </w:t>
      </w:r>
      <w:r w:rsidR="004A58AC" w:rsidRPr="005D7C2E">
        <w:rPr>
          <w:rFonts w:ascii="Times New Roman" w:eastAsia="Times New Roman" w:hAnsi="Times New Roman" w:cs="Times New Roman"/>
          <w:b/>
          <w:bCs/>
          <w:color w:val="111111"/>
          <w:lang w:val="uk-UA" w:eastAsia="ru-RU"/>
        </w:rPr>
        <w:t xml:space="preserve">Структура тарифів на послуги з </w:t>
      </w:r>
      <w:r w:rsidR="00EA5AA6" w:rsidRPr="005D7C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uk-UA" w:eastAsia="ru-RU"/>
        </w:rPr>
        <w:t xml:space="preserve">постачання теплової енергії та постачання гарячої води  </w:t>
      </w:r>
      <w:r w:rsidR="00B654F9" w:rsidRPr="005D7C2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для потреб </w:t>
      </w:r>
      <w:r w:rsidR="00EA5AA6" w:rsidRPr="005D7C2E">
        <w:rPr>
          <w:rFonts w:ascii="Times New Roman" w:hAnsi="Times New Roman" w:cs="Times New Roman"/>
          <w:b/>
          <w:color w:val="111111"/>
          <w:sz w:val="24"/>
          <w:szCs w:val="24"/>
          <w:lang w:val="uk-UA"/>
        </w:rPr>
        <w:t>всіх груп споживачів (населення, бюджетні установи, інші споживачі).</w:t>
      </w:r>
      <w:r w:rsidR="00EA5AA6" w:rsidRPr="005D7C2E">
        <w:rPr>
          <w:rStyle w:val="a3"/>
          <w:rFonts w:ascii="Times New Roman" w:hAnsi="Times New Roman" w:cs="Times New Roman"/>
          <w:b w:val="0"/>
        </w:rPr>
        <w:t xml:space="preserve">          </w:t>
      </w:r>
    </w:p>
    <w:p w:rsidR="00004F18" w:rsidRPr="005D7C2E" w:rsidRDefault="00004F18" w:rsidP="00004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lang w:val="uk-UA" w:eastAsia="ru-RU"/>
        </w:rPr>
      </w:pPr>
    </w:p>
    <w:p w:rsidR="00A30A25" w:rsidRPr="005D7C2E" w:rsidRDefault="00A30A25" w:rsidP="00A30A25">
      <w:pPr>
        <w:pStyle w:val="a5"/>
        <w:jc w:val="both"/>
        <w:rPr>
          <w:b/>
          <w:color w:val="111111"/>
        </w:rPr>
      </w:pPr>
      <w:r w:rsidRPr="005D7C2E">
        <w:rPr>
          <w:b/>
          <w:color w:val="111111"/>
          <w:lang w:val="uk-UA"/>
        </w:rPr>
        <w:t xml:space="preserve">Пропозиції та зауваження щодо запропонованих тарифів приймаються на протязі </w:t>
      </w:r>
      <w:r w:rsidR="00E00A7C" w:rsidRPr="005D7C2E">
        <w:rPr>
          <w:b/>
          <w:color w:val="111111"/>
          <w:lang w:val="uk-UA"/>
        </w:rPr>
        <w:t>7</w:t>
      </w:r>
      <w:r w:rsidRPr="005D7C2E">
        <w:rPr>
          <w:b/>
          <w:color w:val="111111"/>
          <w:lang w:val="uk-UA"/>
        </w:rPr>
        <w:t xml:space="preserve"> календарних днів з моменту їх оприлюднення за адресою: </w:t>
      </w:r>
      <w:r w:rsidR="00E55997" w:rsidRPr="005D7C2E">
        <w:rPr>
          <w:b/>
          <w:color w:val="111111"/>
          <w:lang w:val="uk-UA"/>
        </w:rPr>
        <w:t>53860</w:t>
      </w:r>
      <w:r w:rsidRPr="005D7C2E">
        <w:rPr>
          <w:b/>
          <w:color w:val="111111"/>
          <w:lang w:val="uk-UA"/>
        </w:rPr>
        <w:t xml:space="preserve">, м. </w:t>
      </w:r>
      <w:r w:rsidR="00E55997" w:rsidRPr="005D7C2E">
        <w:rPr>
          <w:b/>
          <w:color w:val="111111"/>
          <w:lang w:val="uk-UA"/>
        </w:rPr>
        <w:t>Зеленодольськ</w:t>
      </w:r>
      <w:r w:rsidRPr="005D7C2E">
        <w:rPr>
          <w:b/>
          <w:color w:val="111111"/>
          <w:lang w:val="uk-UA"/>
        </w:rPr>
        <w:t xml:space="preserve">, </w:t>
      </w:r>
      <w:r w:rsidR="00E55997" w:rsidRPr="005D7C2E">
        <w:rPr>
          <w:b/>
          <w:color w:val="111111"/>
          <w:lang w:val="uk-UA"/>
        </w:rPr>
        <w:t>площа Енергетиків 1а</w:t>
      </w:r>
    </w:p>
    <w:p w:rsidR="00920241" w:rsidRPr="005D7C2E" w:rsidRDefault="00920241" w:rsidP="00A30A2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20241" w:rsidRPr="005D7C2E" w:rsidSect="00013F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2" w:rsidRDefault="00151BA2" w:rsidP="00C406EF">
      <w:pPr>
        <w:spacing w:after="0" w:line="240" w:lineRule="auto"/>
      </w:pPr>
      <w:r>
        <w:separator/>
      </w:r>
    </w:p>
  </w:endnote>
  <w:endnote w:type="continuationSeparator" w:id="0">
    <w:p w:rsidR="00151BA2" w:rsidRDefault="00151BA2" w:rsidP="00C4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2" w:rsidRDefault="00151BA2" w:rsidP="00C406EF">
      <w:pPr>
        <w:spacing w:after="0" w:line="240" w:lineRule="auto"/>
      </w:pPr>
      <w:r>
        <w:separator/>
      </w:r>
    </w:p>
  </w:footnote>
  <w:footnote w:type="continuationSeparator" w:id="0">
    <w:p w:rsidR="00151BA2" w:rsidRDefault="00151BA2" w:rsidP="00C4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2B5"/>
    <w:multiLevelType w:val="hybridMultilevel"/>
    <w:tmpl w:val="5410454A"/>
    <w:lvl w:ilvl="0" w:tplc="C0FAD0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77E10"/>
    <w:multiLevelType w:val="hybridMultilevel"/>
    <w:tmpl w:val="F25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167"/>
    <w:multiLevelType w:val="hybridMultilevel"/>
    <w:tmpl w:val="B9DE209C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D7C2E"/>
    <w:multiLevelType w:val="hybridMultilevel"/>
    <w:tmpl w:val="AEE8A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BB7982"/>
    <w:multiLevelType w:val="hybridMultilevel"/>
    <w:tmpl w:val="1C36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649D8"/>
    <w:multiLevelType w:val="multilevel"/>
    <w:tmpl w:val="62A8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05B73"/>
    <w:multiLevelType w:val="hybridMultilevel"/>
    <w:tmpl w:val="523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931BE"/>
    <w:multiLevelType w:val="hybridMultilevel"/>
    <w:tmpl w:val="F950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042"/>
    <w:multiLevelType w:val="hybridMultilevel"/>
    <w:tmpl w:val="7C30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1620"/>
    <w:multiLevelType w:val="hybridMultilevel"/>
    <w:tmpl w:val="F40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42FAE"/>
    <w:multiLevelType w:val="hybridMultilevel"/>
    <w:tmpl w:val="B5DAEE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C0561"/>
    <w:multiLevelType w:val="hybridMultilevel"/>
    <w:tmpl w:val="C618FF1C"/>
    <w:lvl w:ilvl="0" w:tplc="1604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B139C"/>
    <w:multiLevelType w:val="hybridMultilevel"/>
    <w:tmpl w:val="DD5E1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C2992"/>
    <w:multiLevelType w:val="hybridMultilevel"/>
    <w:tmpl w:val="D9C28012"/>
    <w:lvl w:ilvl="0" w:tplc="CB1E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56A8504">
      <w:numFmt w:val="bullet"/>
      <w:lvlText w:val="-"/>
      <w:lvlJc w:val="left"/>
      <w:pPr>
        <w:ind w:left="1485" w:hanging="76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0"/>
    <w:rsid w:val="00004F18"/>
    <w:rsid w:val="00013D98"/>
    <w:rsid w:val="00013FB5"/>
    <w:rsid w:val="00024993"/>
    <w:rsid w:val="0003247D"/>
    <w:rsid w:val="00037AD4"/>
    <w:rsid w:val="00062BFF"/>
    <w:rsid w:val="000664E1"/>
    <w:rsid w:val="00086BF9"/>
    <w:rsid w:val="00087305"/>
    <w:rsid w:val="000961B5"/>
    <w:rsid w:val="000A2610"/>
    <w:rsid w:val="000A3A0D"/>
    <w:rsid w:val="000B0908"/>
    <w:rsid w:val="000B5763"/>
    <w:rsid w:val="000E2B20"/>
    <w:rsid w:val="000E7F29"/>
    <w:rsid w:val="00100E1B"/>
    <w:rsid w:val="00113CF6"/>
    <w:rsid w:val="001252F3"/>
    <w:rsid w:val="00132BA6"/>
    <w:rsid w:val="00133790"/>
    <w:rsid w:val="0013636D"/>
    <w:rsid w:val="00151BA2"/>
    <w:rsid w:val="001658EF"/>
    <w:rsid w:val="001844BB"/>
    <w:rsid w:val="001900E5"/>
    <w:rsid w:val="00193E5A"/>
    <w:rsid w:val="001A0DD1"/>
    <w:rsid w:val="001B3DE2"/>
    <w:rsid w:val="001B7B5B"/>
    <w:rsid w:val="001C25C6"/>
    <w:rsid w:val="001E5703"/>
    <w:rsid w:val="001E75C9"/>
    <w:rsid w:val="001F35DD"/>
    <w:rsid w:val="00201F13"/>
    <w:rsid w:val="00205B6A"/>
    <w:rsid w:val="00213EC7"/>
    <w:rsid w:val="002200E7"/>
    <w:rsid w:val="002300F1"/>
    <w:rsid w:val="00232553"/>
    <w:rsid w:val="00247034"/>
    <w:rsid w:val="0025056B"/>
    <w:rsid w:val="00253E53"/>
    <w:rsid w:val="00264E00"/>
    <w:rsid w:val="00272D2C"/>
    <w:rsid w:val="002773B9"/>
    <w:rsid w:val="00283155"/>
    <w:rsid w:val="00290203"/>
    <w:rsid w:val="0029037C"/>
    <w:rsid w:val="002A0568"/>
    <w:rsid w:val="002A5DC6"/>
    <w:rsid w:val="002B63C6"/>
    <w:rsid w:val="002C3888"/>
    <w:rsid w:val="002C7261"/>
    <w:rsid w:val="002E2A2D"/>
    <w:rsid w:val="002E6315"/>
    <w:rsid w:val="0030379F"/>
    <w:rsid w:val="00307122"/>
    <w:rsid w:val="00316F73"/>
    <w:rsid w:val="00321EAA"/>
    <w:rsid w:val="00335AF7"/>
    <w:rsid w:val="00335D8D"/>
    <w:rsid w:val="00365A53"/>
    <w:rsid w:val="0036648A"/>
    <w:rsid w:val="003710A3"/>
    <w:rsid w:val="0037149B"/>
    <w:rsid w:val="00376365"/>
    <w:rsid w:val="003A2762"/>
    <w:rsid w:val="003B3196"/>
    <w:rsid w:val="003B69A0"/>
    <w:rsid w:val="003B7BD4"/>
    <w:rsid w:val="003C463C"/>
    <w:rsid w:val="003C6252"/>
    <w:rsid w:val="003C7E0D"/>
    <w:rsid w:val="003D03AA"/>
    <w:rsid w:val="003D10DD"/>
    <w:rsid w:val="003D1DC2"/>
    <w:rsid w:val="00402002"/>
    <w:rsid w:val="00402BE2"/>
    <w:rsid w:val="004107A0"/>
    <w:rsid w:val="004123A9"/>
    <w:rsid w:val="00425538"/>
    <w:rsid w:val="0044437F"/>
    <w:rsid w:val="004474B3"/>
    <w:rsid w:val="004725F5"/>
    <w:rsid w:val="00480DD7"/>
    <w:rsid w:val="00486481"/>
    <w:rsid w:val="004922BB"/>
    <w:rsid w:val="004940EF"/>
    <w:rsid w:val="004A58AC"/>
    <w:rsid w:val="004B12EC"/>
    <w:rsid w:val="004B14CD"/>
    <w:rsid w:val="004B704C"/>
    <w:rsid w:val="004C3634"/>
    <w:rsid w:val="004D1557"/>
    <w:rsid w:val="004D5598"/>
    <w:rsid w:val="004D7E4D"/>
    <w:rsid w:val="004F27D0"/>
    <w:rsid w:val="004F3F36"/>
    <w:rsid w:val="004F662D"/>
    <w:rsid w:val="00501919"/>
    <w:rsid w:val="005025C3"/>
    <w:rsid w:val="00502FCD"/>
    <w:rsid w:val="00510F1A"/>
    <w:rsid w:val="00513B2A"/>
    <w:rsid w:val="00521480"/>
    <w:rsid w:val="005218F2"/>
    <w:rsid w:val="005238D5"/>
    <w:rsid w:val="00542CFC"/>
    <w:rsid w:val="0055623F"/>
    <w:rsid w:val="00556C21"/>
    <w:rsid w:val="005574E4"/>
    <w:rsid w:val="005575C2"/>
    <w:rsid w:val="00565B5B"/>
    <w:rsid w:val="005666FD"/>
    <w:rsid w:val="005852DD"/>
    <w:rsid w:val="00593D46"/>
    <w:rsid w:val="005B10E5"/>
    <w:rsid w:val="005B5582"/>
    <w:rsid w:val="005C3321"/>
    <w:rsid w:val="005C7F87"/>
    <w:rsid w:val="005D7C2E"/>
    <w:rsid w:val="005E062E"/>
    <w:rsid w:val="005E65AF"/>
    <w:rsid w:val="005F2572"/>
    <w:rsid w:val="006004D8"/>
    <w:rsid w:val="006042DB"/>
    <w:rsid w:val="00613CA6"/>
    <w:rsid w:val="006166EC"/>
    <w:rsid w:val="0062100F"/>
    <w:rsid w:val="0062191A"/>
    <w:rsid w:val="00633D42"/>
    <w:rsid w:val="00634CD1"/>
    <w:rsid w:val="00636672"/>
    <w:rsid w:val="00644EF1"/>
    <w:rsid w:val="00650465"/>
    <w:rsid w:val="00653425"/>
    <w:rsid w:val="006671D8"/>
    <w:rsid w:val="00680952"/>
    <w:rsid w:val="00684390"/>
    <w:rsid w:val="00685358"/>
    <w:rsid w:val="0069208A"/>
    <w:rsid w:val="0069277C"/>
    <w:rsid w:val="006A1C77"/>
    <w:rsid w:val="006A2985"/>
    <w:rsid w:val="006C35FF"/>
    <w:rsid w:val="006C5A7C"/>
    <w:rsid w:val="006D0658"/>
    <w:rsid w:val="006D4E21"/>
    <w:rsid w:val="006F082A"/>
    <w:rsid w:val="006F34AF"/>
    <w:rsid w:val="0070081C"/>
    <w:rsid w:val="007070B3"/>
    <w:rsid w:val="00713FD2"/>
    <w:rsid w:val="0071626C"/>
    <w:rsid w:val="00716FC3"/>
    <w:rsid w:val="00722E29"/>
    <w:rsid w:val="00730219"/>
    <w:rsid w:val="00734F89"/>
    <w:rsid w:val="00736687"/>
    <w:rsid w:val="00741DFD"/>
    <w:rsid w:val="0075095F"/>
    <w:rsid w:val="007615AD"/>
    <w:rsid w:val="00770927"/>
    <w:rsid w:val="0077096F"/>
    <w:rsid w:val="0078242A"/>
    <w:rsid w:val="0078436C"/>
    <w:rsid w:val="00791032"/>
    <w:rsid w:val="007B1BA1"/>
    <w:rsid w:val="007E0280"/>
    <w:rsid w:val="007E4655"/>
    <w:rsid w:val="007E4ACD"/>
    <w:rsid w:val="007E4EC0"/>
    <w:rsid w:val="0081292D"/>
    <w:rsid w:val="008147BD"/>
    <w:rsid w:val="00815809"/>
    <w:rsid w:val="0081686F"/>
    <w:rsid w:val="008233C7"/>
    <w:rsid w:val="00831DC1"/>
    <w:rsid w:val="0083376E"/>
    <w:rsid w:val="0084349F"/>
    <w:rsid w:val="0084593D"/>
    <w:rsid w:val="00885BBC"/>
    <w:rsid w:val="0089280E"/>
    <w:rsid w:val="00894E57"/>
    <w:rsid w:val="00896DE4"/>
    <w:rsid w:val="008A043B"/>
    <w:rsid w:val="008B1FF7"/>
    <w:rsid w:val="008C1D25"/>
    <w:rsid w:val="008E2CA8"/>
    <w:rsid w:val="008E7B4C"/>
    <w:rsid w:val="008F5D1B"/>
    <w:rsid w:val="008F74AB"/>
    <w:rsid w:val="00920241"/>
    <w:rsid w:val="00927652"/>
    <w:rsid w:val="00944EC9"/>
    <w:rsid w:val="00953650"/>
    <w:rsid w:val="00956EE0"/>
    <w:rsid w:val="00956F06"/>
    <w:rsid w:val="009712FA"/>
    <w:rsid w:val="00971682"/>
    <w:rsid w:val="00976697"/>
    <w:rsid w:val="009801AF"/>
    <w:rsid w:val="00980833"/>
    <w:rsid w:val="009809E8"/>
    <w:rsid w:val="0098332E"/>
    <w:rsid w:val="009A7B76"/>
    <w:rsid w:val="009B19B9"/>
    <w:rsid w:val="009C027B"/>
    <w:rsid w:val="009C10BE"/>
    <w:rsid w:val="009C46B3"/>
    <w:rsid w:val="009C5E1A"/>
    <w:rsid w:val="009D04F1"/>
    <w:rsid w:val="009D634D"/>
    <w:rsid w:val="009E7A48"/>
    <w:rsid w:val="009F619A"/>
    <w:rsid w:val="009F6D64"/>
    <w:rsid w:val="00A01FF7"/>
    <w:rsid w:val="00A062AD"/>
    <w:rsid w:val="00A127E5"/>
    <w:rsid w:val="00A2273B"/>
    <w:rsid w:val="00A30A25"/>
    <w:rsid w:val="00A55234"/>
    <w:rsid w:val="00A56116"/>
    <w:rsid w:val="00A61EA5"/>
    <w:rsid w:val="00A70765"/>
    <w:rsid w:val="00A73CDF"/>
    <w:rsid w:val="00A74111"/>
    <w:rsid w:val="00A775B8"/>
    <w:rsid w:val="00A83B06"/>
    <w:rsid w:val="00AA42A6"/>
    <w:rsid w:val="00AA50E2"/>
    <w:rsid w:val="00AB7999"/>
    <w:rsid w:val="00AC79C9"/>
    <w:rsid w:val="00AD75B4"/>
    <w:rsid w:val="00B03FDF"/>
    <w:rsid w:val="00B2495E"/>
    <w:rsid w:val="00B25A98"/>
    <w:rsid w:val="00B26EE8"/>
    <w:rsid w:val="00B654F9"/>
    <w:rsid w:val="00B656E0"/>
    <w:rsid w:val="00B71704"/>
    <w:rsid w:val="00B76CF8"/>
    <w:rsid w:val="00B841D0"/>
    <w:rsid w:val="00B87017"/>
    <w:rsid w:val="00B95514"/>
    <w:rsid w:val="00BA0C3F"/>
    <w:rsid w:val="00BC0A74"/>
    <w:rsid w:val="00BC2B47"/>
    <w:rsid w:val="00BC5AD6"/>
    <w:rsid w:val="00BC60F3"/>
    <w:rsid w:val="00BD35B5"/>
    <w:rsid w:val="00BF3B37"/>
    <w:rsid w:val="00C0118E"/>
    <w:rsid w:val="00C02E5D"/>
    <w:rsid w:val="00C0338D"/>
    <w:rsid w:val="00C106BA"/>
    <w:rsid w:val="00C2219A"/>
    <w:rsid w:val="00C235E1"/>
    <w:rsid w:val="00C279A1"/>
    <w:rsid w:val="00C406EF"/>
    <w:rsid w:val="00C41F99"/>
    <w:rsid w:val="00C45247"/>
    <w:rsid w:val="00C47F31"/>
    <w:rsid w:val="00C54606"/>
    <w:rsid w:val="00C84ADB"/>
    <w:rsid w:val="00C87288"/>
    <w:rsid w:val="00C95DC5"/>
    <w:rsid w:val="00CA184C"/>
    <w:rsid w:val="00CA6433"/>
    <w:rsid w:val="00CB48F5"/>
    <w:rsid w:val="00CD376F"/>
    <w:rsid w:val="00CD4626"/>
    <w:rsid w:val="00CE44D2"/>
    <w:rsid w:val="00CF019D"/>
    <w:rsid w:val="00CF0B69"/>
    <w:rsid w:val="00CF0FFD"/>
    <w:rsid w:val="00D03231"/>
    <w:rsid w:val="00D039AF"/>
    <w:rsid w:val="00D15D5B"/>
    <w:rsid w:val="00D33186"/>
    <w:rsid w:val="00D358B0"/>
    <w:rsid w:val="00D372B2"/>
    <w:rsid w:val="00D4456B"/>
    <w:rsid w:val="00D46767"/>
    <w:rsid w:val="00D716CE"/>
    <w:rsid w:val="00D80714"/>
    <w:rsid w:val="00D86FF6"/>
    <w:rsid w:val="00D973C1"/>
    <w:rsid w:val="00D976BA"/>
    <w:rsid w:val="00DA395D"/>
    <w:rsid w:val="00DB04DB"/>
    <w:rsid w:val="00DC00A2"/>
    <w:rsid w:val="00DC6881"/>
    <w:rsid w:val="00DE0B72"/>
    <w:rsid w:val="00DE199C"/>
    <w:rsid w:val="00DE1FAC"/>
    <w:rsid w:val="00DE4929"/>
    <w:rsid w:val="00DF1369"/>
    <w:rsid w:val="00E00A7C"/>
    <w:rsid w:val="00E13B35"/>
    <w:rsid w:val="00E17E23"/>
    <w:rsid w:val="00E20DCE"/>
    <w:rsid w:val="00E2689C"/>
    <w:rsid w:val="00E33141"/>
    <w:rsid w:val="00E35AF8"/>
    <w:rsid w:val="00E370A4"/>
    <w:rsid w:val="00E37240"/>
    <w:rsid w:val="00E502A1"/>
    <w:rsid w:val="00E52357"/>
    <w:rsid w:val="00E55997"/>
    <w:rsid w:val="00E65AA8"/>
    <w:rsid w:val="00E70E1F"/>
    <w:rsid w:val="00E8063E"/>
    <w:rsid w:val="00E80C49"/>
    <w:rsid w:val="00EA0A72"/>
    <w:rsid w:val="00EA5AA6"/>
    <w:rsid w:val="00EA70D0"/>
    <w:rsid w:val="00EB4A74"/>
    <w:rsid w:val="00EC164C"/>
    <w:rsid w:val="00EC287C"/>
    <w:rsid w:val="00EF1BB6"/>
    <w:rsid w:val="00EF7410"/>
    <w:rsid w:val="00F037F6"/>
    <w:rsid w:val="00F15A5F"/>
    <w:rsid w:val="00F3445B"/>
    <w:rsid w:val="00F4613E"/>
    <w:rsid w:val="00F479E5"/>
    <w:rsid w:val="00F52083"/>
    <w:rsid w:val="00F53627"/>
    <w:rsid w:val="00F67412"/>
    <w:rsid w:val="00F847DD"/>
    <w:rsid w:val="00F87D23"/>
    <w:rsid w:val="00F933D2"/>
    <w:rsid w:val="00FA5438"/>
    <w:rsid w:val="00FC11E2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89CB-0295-4BFE-B8A5-AF97E6E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240"/>
    <w:rPr>
      <w:b/>
      <w:bCs/>
    </w:rPr>
  </w:style>
  <w:style w:type="character" w:styleId="a4">
    <w:name w:val="Emphasis"/>
    <w:basedOn w:val="a0"/>
    <w:uiPriority w:val="20"/>
    <w:qFormat/>
    <w:rsid w:val="00E37240"/>
    <w:rPr>
      <w:i/>
      <w:iCs/>
    </w:rPr>
  </w:style>
  <w:style w:type="paragraph" w:styleId="a5">
    <w:name w:val="Normal (Web)"/>
    <w:basedOn w:val="a"/>
    <w:uiPriority w:val="99"/>
    <w:unhideWhenUsed/>
    <w:rsid w:val="001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4626"/>
  </w:style>
  <w:style w:type="paragraph" w:styleId="ab">
    <w:name w:val="footer"/>
    <w:basedOn w:val="a"/>
    <w:link w:val="ac"/>
    <w:uiPriority w:val="99"/>
    <w:unhideWhenUsed/>
    <w:rsid w:val="00CD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4626"/>
  </w:style>
  <w:style w:type="paragraph" w:customStyle="1" w:styleId="Default">
    <w:name w:val="Default"/>
    <w:rsid w:val="0023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Grid Table Light"/>
    <w:basedOn w:val="a1"/>
    <w:uiPriority w:val="40"/>
    <w:rsid w:val="002773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414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A9A-4C46-4955-BB8F-06BC500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DTEK</Company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Loyan Tatyana</dc:creator>
  <cp:lastModifiedBy>Savchenko Liliya</cp:lastModifiedBy>
  <cp:revision>5</cp:revision>
  <cp:lastPrinted>2019-12-26T14:52:00Z</cp:lastPrinted>
  <dcterms:created xsi:type="dcterms:W3CDTF">2019-12-26T15:59:00Z</dcterms:created>
  <dcterms:modified xsi:type="dcterms:W3CDTF">2019-12-27T11:30:00Z</dcterms:modified>
</cp:coreProperties>
</file>